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20081028_f_ch_b_01 vom 28. Oktober 2008</w:t>
      </w:r>
    </w:p>
    <w:p>
      <w:r>
        <w:t>FINMA Versicherungsrecht, 2008-10-28, FR</w:t>
      </w:r>
    </w:p>
    <w:p>
      <w:r>
        <w:rPr>
          <w:b/>
        </w:rPr>
        <w:t xml:space="preserve">Quelle: </w:t>
      </w:r>
      <w:r>
        <w:t>https://mcp.opencaselaw.ch/entscheid/finma_versicherungsrecht_20081028_f_ch_b_01</w:t>
      </w:r>
    </w:p>
    <w:p>
      <w:r>
        <w:t>FR: FINMA_VERSICHERUNGSRECHT 20081028_f_ch_b_01 du 28 octobre 2008</w:t>
      </w:r>
    </w:p>
    <w:p>
      <w:r>
        <w:t>IT: FINMA_VERSICHERUNGSRECHT 20081028_f_ch_b_01 del 28 ottobre 2008</w:t>
      </w:r>
    </w:p>
    <w:p>
      <w:pPr>
        <w:pStyle w:val="Heading2"/>
      </w:pPr>
      <w:r>
        <w:t>Volltext</w:t>
      </w:r>
    </w:p>
    <w:p>
      <w:r>
        <w:t>{T 0/2} 4A_299/2008 /len U r t e i l v o m 2 8 . O k t o b e r 2 0 0 8 I . z i v i l r e c h t l i c h e A b t e i l u n g Bundesrichter Corboz, Präsident, Bundesrichterinnen Klett, Rottenberg Liatowitsch, Bundesrichter Kolly, Bundesrichterin Kiss, Gerichtsschreiberin Feldmann. A.________, B.________, Beschwerdeführer, beide vertreten durch Rechtsanwalt Rainer Niedermann, gegen X.________ Versicherungsgesellschaft AG, Beschwerdegegnerin, vertreten durch Rechtsanwalt Dr. Michael Hüppi. Versicherungsvertrag, Beschwerde gegen den Entscheid des Kreisgerichts St. Gallen, Präsidentin der 1. Abteilung, vom 15. April 2008. B u n d e s g e r i c h t T r i b u n a l f é d é r a l T r i b u n a l e f e d e r a l e T r i b u n a l f e d e r a l Besetzung Parteien Gegenstand</w:t>
      </w:r>
    </w:p>
    <w:p>
      <w:r>
        <w:t>Sachverhalt: A. Am 25. Juli 2006 unterzeichnete A.________ (Beschwerdeführer 1) den Antrag für eine Privatkundenversicherung der X.________ Versicherungsgesellschaft AG (Beschwerdegegnerin). Darin wurde auf die allgemeinen Geschäftsbedingungen Ausgabe 2005 (AGB 2005) als weitere Vertragsgrundlage verwiesen. In der Folge stellte die Be- schwerdegegnerin die Police aus. Der Versicherungsvertrag dauert bis zum 1. Januar 2010; die Jahresprämie beläuft sich auf Fr. 410.10. Die Laufzeit der Hausrat- und Privathaftpflichtversicherung von B.________ (Beschwerdeführer 2) begann am 12. September 2002. In der Police wurden die allgemeinen Geschäftsbedingungen 1996 als Vertragsgrundlage genannt. Aufgrund einer Adressänderung unter- zeichnete der Beschwerdeführer 2 einen neuen Versicherungsantrag der Beschwerdegegnerin, worin die AGB 2005 als Vertragsgrundlage bezeichnet waren. Gemäss der Police dauert der Versicherungsver- trag bis zum 1. Oktober 2011; die Jahresprämie beträgt Fr. 317.90. Anfang November 2006 teilte die Beschwerdegegnerin den Beschwer- deführern mit, dass aufgrund einer Anordnung des Bundesamts für Privatversicherungen per 1. Januar 2007 deutlich höhere Haftungslimi- ten, angepasste Selbstbehalte und massvoll erhöhte Prämiensätze gelten würden. Mit Schreiben vom 16. November 2006 bzw. 21. Dezember 2006 kün- digten die Beschwerdeführer die Versicherungsverträge je per 31. De- zember 2006. Die Beschwerdegegnerin lehnte beide Kündigungen unter Hinweis auf Ziffer 4 der AGB 2005 ab. Diese Bestimmung lautet wie folgt: "4. Änderung der Prämien, Selbstbehalte und Leistungsbegrenzungen Die X.________ kann eine Anpassung der Prämien und der Selbstbehalte auch für bestehende Verträge ab folgendem Versicherungsjahr verlangen. Die neuen Vertragsbestimmungen werden dem Versicherungsnehmer spätestens 25 Tage vor Ablauf des Versicherungsjahres bekannt gegeben. Ist der Ver- sicherungsnehmer mit der Anpassung nicht einverstanden, kann er den ge- samten oder den von der Änderung betroffenen Teil auf Ende des laufenden Versicherungsjahres kündigen. Die Kündigung ist rechtzeitig erfolgt, wenn sie spätestens am letzten Tag des Versicherungsjahres schriftlich bei der X.________ eintrifft. Schreibt eine Bundesbehörde bei einer gesetzlich geregelten Deckung (z.B. Elementarschäden) eine Änderung der Prämien, der Selbstbehalte, der Ent- schädigungsgrenzen oder des Deckungsumfanges vor, so kann die X.________ ab folgendem Versicherungsjahr eine entsprechende Anpassung des Vertrages vornehmen. In diesem Fall besteht kein Kündigungsrecht. Seite 2</w:t>
      </w:r>
    </w:p>
    <w:p>
      <w:r>
        <w:t>Erhält die X.________ bis zum Ende des laufenden Versicherungsjahres keine Kündigung, gilt dies als Zustimmung zu den Vertragsänderungen." B. Nach erfolglosem Vermittlungsverfahren reichten die Beschwerdefüh- rer Klage beim Kreisgerichtspräsidium St. Gallen ein. Sie beantragten, es sei festzustellen, dass die mit der Beschwerdegegnerin geschlosse- nen Hausrat- und Privathaftpflichtversicherungsverträge durch die Kündigung des Beschwerdeführers 1 vom 16. November 2006 bzw. des Beschwerdeführers 2 vom 21. Dezember 2006 je auf den 31. De- zember 2006 aufgehoben worden sind. Mit Entscheid vom 15. April 2008 verneinte das Kreisgerichtspräsidium St. Gallen die objektive Ungewöhnlichkeit von Ziff. 4 Abs. 2 der AGB 2005 der Beschwerdegegnerin und wies die Klagen ab. C. Mit Beschwerde in Zivilsachen beantragen die Beschwerdeführer dem Bundesgericht, den Entscheid des Kreisgerichtspräsidiums St. Gallen vom 15. April 2008 aufzuheben. Sie stellen die gleichen Rechtsbegeh- ren wie vor der Vorinstanz. Die Beschwerdegegnerin beantragt, auf die Beschwerde nicht einzu- treten, eventualiter sie abzuweisen. Die Vorinstanz beantragt die Ab- weisung der Beschwerde. Erwägungen: 1. 1.1 Das Bundesgericht überprüft von Amtes wegen und mit freier Kognition, ob ein Rechtsmittel zulässig ist (BGE 134 III 115 E. 1 S. 117, 379 E. 1 S. 381). 1.2 Die Beschwerde in Zivilsachen ist gegen Entscheide letzter kanto- naler Instanzen zulässig (Art. 75 Abs. 1 BGG). Dies setzt voraus, dass die vor Bundesgericht erhobenen Rügen mit keinem kantonalen Rechtsmittel hätten geltend gemacht werden können. Gemäss Art. 225 Abs. 1 ZPO/SG ist die Berufung an das Kantonsgericht ausgeschlos- sen, wenn der Streitwert – wie im vorliegenden Fall – weniger als Fr. 8'000.-- beträgt. In diesen Fällen kann nach Art. 254 Abs. 1 ZPO/SG Rechtsverweigerungsbeschwerde beim Kantonsgericht erho- ben werden. Da die Beschwerdeführer jedoch nicht rügen, die Kreis- gerichtspräsidentin habe in Ausübung der Befugnisse willkürlich ge- Seite 3</w:t>
      </w:r>
    </w:p>
    <w:p>
      <w:r>
        <w:t>handelt (Art. 254 Abs. 1 lit. c ZPO/SG) und auch keinen anderen in Art. 254 Abs. 1 ZPO/SG aufgeführten Grund geltend machen, erweist sich der angefochtene Entscheid als letztinstanzlich. Gemäss Art. 75 Abs. 2 BGG haben die Kantone grundsätzlich zwei Instanzen vorzusehen, denen mindestens die gleiche Kognition wie dem Bundesgericht zukommen muss (Art. 75 Abs. 1 in Verbindung mit Art. 111 Abs. 3 BGG). Zur notwendigen Anpassung steht den Kanto- nen eine Übergangsfrist zu, die noch nicht abgelaufen ist (Art. 130 Abs. 2 BGG). Demnach ist für die Annahme der Letztinstanzlichkeit unerheblich, dass es sich beim Kreisgerichtspräsidium nicht um ein oberes Gericht im Sinne von Art. 75 Abs. 2 BGG handelt. 1.3 In vermögensrechtlichen Angelegenheiten ist die Beschwerde in Zivilsachen grundsätzlich nur gegeben, wenn der Streitwert mindes- tens Fr. 30'000.-- beträgt (Art. 74 Abs. 1 lit. b BGG). Erreicht der Streitwert den massgebenden Betrag nicht, ist sie dennoch zulässig, wenn sich eine Rechtsfrage von grundsätzlicher Bedeutung stellt (Art. 74 Abs. 2 lit. a BGG). Dieser Begriff ist restriktiv auszulegen. So- weit es bei der aufgeworfenen Frage lediglich um die Anwendung von Grundsätzen der Rechtsprechung auf einen konkreten Fall geht, han- delt es sich nicht um eine Rechtsfrage von grundsätzlicher Bedeutung (BGE 134 III 115 E. 1.2 S. 117; 133 III 493 E. 1.1 und 1.2 S. 495 f.). Die Voraussetzung von Art. 74 Abs. 2 lit. a BGG ist hingegen erfüllt, wenn ein allgemeines Interesse besteht, dass eine umstrittene Frage höchstrichterlich geklärt wird, um eine einheitliche Anwendung und Auslegung des Bundesrechts herbeizuführen und damit Rechtssicher- heit herzustellen (BGE 133 III 645 E. 2.4 S. 648 f.). Eine neue Rechts- frage kann vom Bundesgericht sodann beurteilt werden, wenn dessen Entscheid für die Praxis wegleitend sein kann, namentlich wenn von unteren Instanzen viele gleichartige Fälle zu beurteilen sein werden (vgl. Botschaft vom 28. Februar 2001 zur Totalrevision der Bundes- rechtspflege, BBl 2001 4309). Auch eine vom Bundesgericht bereits entschiedene Rechtsfrage kann unter der Voraussetzung von grund- sätzlicher Bedeutung sein, dass sich die erneute Überprüfung auf- drängt. Dies kann zutreffen, wenn die Rechtsprechung nicht einheitlich oder in der massgebenden Lehre auf erhebliche Kritik gestossen ist (BGE 134 III 354 E. 1.5 S. 357 f. mit Bezug auf die Bestimmung der Kündigungsfrist gemäss Art. 336c Abs. 2 OR) oder wenn in der Zwischenzeit neue Gesetzesbestimmungen in Kraft getreten sind (BGE 134 III 115 E. 1.2 S. 117). Ist eine Beschwerde nur unter der Voraussetzung zulässig, dass sich eine Rechtsfrage von grundsätz- licher Bedeutung stellt, ist in der Beschwerdeschrift auszuführen, warum diese Voraussetzung erfüllt ist (Art. 42 Abs. 2 BGG). Seite 4</w:t>
      </w:r>
    </w:p>
    <w:p>
      <w:r>
        <w:t>1.3.1 Die Beschwerdeführer bilden eine einfache Streitgenossen- schaft. Da sich ihre geltend gemachten Begehren nicht gegenseitig ausschliessen, werden sie zur Bestimmung des Streitwerts zusam- mengerechnet (Art. 52 BGG). Im vorliegenden Fall ist der Streitwert von Fr. 30'000.-- dennoch nicht erreicht. Die Beschwerdeführer brin- gen vor, es stelle sich die Frage von grundsätzlicher Bedeutung, ob es der Grundsatz "pacta sunt servanda" zulasse, dass der Versicherer das Risiko einer Vertragsänderung einseitig auf den Versicherungs- nehmer abwälzen könne, ohne diesem ein Korrektiv in Form des Kün- digungsrechts einzuräumen. Zur Begründung führen die Beschwerde- führer aus, die Rechtslage im Zusammenhang mit Versicherungsver- trägen sei seit längerer Zeit im Umbruch und von grosser Unsicherheit geprägt. Die Aufsichtsbehörde habe früher eine Prämienanpassungs- regel ohne Kündigungsrecht nicht genehmigt. Im deregulierten Markt bestehe keine Genehmigungspflicht mehr. Art. 38 des Vorentwurfs vom 31. Juli 2006 zum Versicherungsvertragsgesetz (VE-VVG) wiede- rum sehe eine Prämienanpassungsklausel mit Kündigungsrecht des Versicherungsnehmers vor und zwar unabhängig davon, ob die einsei- tige Vertragsanpassung durch den Versicherer behördlich motiviert oder nach Gutdünken erfolge. Aufgrund der Übergangsbestimmungen des VE-VVG wären diese Klauseln unter Umständen während einiger Zeit bis zum Ablauf der langjährigen Versicherungsverträge nach In- krafttreten des VVG gültig. Neben der Beschwerdegegnerin hätten in der Zwischenzeit auch andere Versicherer das Kündigungsrecht für den Fall der behördlich motivierten einseitigen Vertragsanpassung ausgeschlossen. Die Auffassung der Vorinstanz, wonach eine behörd- lich motivierte Vertragsanpassung kein Fall einer einseitigen Vertrags- anpassung sei und somit kein ausserordentliches Kündigungsrecht zur Folge habe, führe zu einer uneinheitlichen Anwendung von Bundes- recht. Schliesslich sei die Frage für eine Vielzahl von Personen rele- vant, weil die Kündigung etlichen Versicherungsnehmern verweigert werde. Mit diesen Ausführungen zeigen die Beschwerdeführer auf, weshalb ihres Erachtens eine Rechtsfrage von grundsätzlicher Frage vorliegt und kommen – entgegen der Ansicht der Beschwerdegegne- rin – der Begründungspflicht von Art. 42 Abs. 2 BGG nach. 1.3.2 Gemäss Art. 175 und Art. 176 Abs. 2 der Verordnung über die Beaufsichtigung von privaten Versicherungsunternehmen vom 9. No- vember 2005 (Aufsichtsverordnung, AVO; SR 961.011) gelten seit dem 1. Januar 2007 höhere Deckungslimiten sowie geänderte Selbst- behalte in der Elementarschadenversicherung. Weder das Bundesge- setz betreffend die Aufsicht über Versicherungsunternehmen vom 17. Dezember 2004 (Versicherungsaufsichtsgesetz, VAG; SR 961.01) noch das Bundesgesetz über den Versicherungsvertrag vom 2. April Seite 5</w:t>
      </w:r>
    </w:p>
    <w:p>
      <w:r>
        <w:t>1908 (Versicherungsvertragsgesetz, VVG; SR 221.229.1) enthalten Bestimmungen hinsichtlich des Kündigungsrechts der Versicherungs- nehmer im Zusammenhang mit diesen Anpassungen. Das Bundesge- richt hat die Frage noch nie entschieden, ob dem Versicherungsneh- mer ein Kündigungsrecht zusteht, wenn eine Bundesbehörde eine Änderung der Prämien, der Selbstbehalte, der Entschädigungsgrenzen oder des Deckungsumfangs bei einer gesetzlich geregelten Deckung vorschreibt und das Versicherungsunternehmen in der Folge den Ver- sicherungsvertrag anpasst. Der Entscheid über diese Frage kann für die Praxis wegleitend sein. Die umstrittene Klausel ist in den AGB 2005 der Beschwerdegegnerin enthalten, die für zahlreiche Versiche- rungsverträge angewendet werden. Somit ist eine Vielzahl von Perso- nen von Ziff. 4 Abs. 2 AGB 2005 potentiell betroffen und die von den Beschwerdeführern aufgeworfene Frage kann sich immer wieder stellen. Ob bzw. wievielen weiteren Versicherungsnehmern das Kündi- gungsrecht bereits verweigert worden ist oder verweigert wird, spielt dabei keine Rolle. Zusammengefasst besteht ein Bedürfnis, dass diese Frage höchstrichterlich geklärt wird. Entgegen den Ausführun- gen der Beschwerdegegnerin ist von einer Rechtsfrage von grundsätz- licher Bedeutung auszugehen. Da auch die übrigen Eintretensvoraus- setzungen erfüllt sind, ist auf die form- sowie fristgerecht eingereichte Beschwerde in Zivilsachen einzutreten. 2. AGB-Klauseln sind, wenn sie in Verträge übernommen werden, grundsätzlich nach denselben Prinzipien auszulegen wie andere vertragliche Bestimmungen (BGE 133 III 607 E. 2.2 S. 610, 675 E. 3.3 S. 681). Art. 4 Abs. 2 der in die Verträge der Parteien integrierten AGB 2005 der Beschwerdegegnerin schliesst das Kündigungsrecht der Be- schwerdeführer für den Fall ausdrücklich aus, dass eine Bundesbehör- de bei einer gesetzlich geregelten Deckung eine Änderung der Prämien, der Selbstbehalte, der Entschädigungsgrenzen oder des Deckungsumfangs vorschreibt und die Beschwerdegegnerin in der Folge eine entsprechende Vertragsanpassung vornimmt. Die umstrit- tenen Vertragsänderungen sind auf die Änderungen der AVO und auf die im Hinblick darauf ergangene Verfügung des Bundesamts für Privatversicherungen vom 2. November 2006 (BBl 2006 9299) zurück- zuführen. Die Beschwerdeführer bestreiten nicht, dass Art. 4 Abs. 2 AGB 2005 die Kündigung für den vorliegenden Fall ausschliesst. Sie berufen sich jedoch auf die so genannte Ungewöhnlichkeitsregel und bestreiten, dass Art. 4 Abs. 2 AGB 2005 gültig in ihre Verträge über- nommen worden sei. 2.1 Die Geltung vorformulierter allgemeiner Geschäftsbedingungen Seite 6</w:t>
      </w:r>
    </w:p>
    <w:p>
      <w:r>
        <w:t>wird durch die Ungewöhnlichkeitsregel eingeschränkt. Danach sind von der global erklärten Zustimmung zu allgemeinen Vertragsbedin- gungen alle ungewöhnlichen Klauseln ausgenommen, auf deren Vor- handensein die schwächere oder weniger geschäftserfahrene Partei nicht gesondert aufmerksam gemacht worden ist (BGE 119 II 443 E. 1a S. 446). Der Verfasser von allgemeinen Geschäftsbedingungen muss nach dem Vertrauensgrundsatz davon ausgehen, dass ein uner- fahrener Vertragspartner ungewöhnlichen Klauseln nicht zustimmt. Die Ungewöhnlichkeit beurteilt sich aus der Sicht des Zustimmenden im Zeitpunkt des Vertragsabschlusses. Die Beurteilung erfolgt bezogen auf den Einzelfall. Die fragliche Klausel muss zu einer wesentlichen Änderung des Vertragscharakters führen oder in erheblichem Masse aus dem gesetzlichen Rahmen des Vertragstypus fallen (BGE 119 II 443 E. 1a S. 446 mit Hinweisen). Je stärker eine Klausel die Rechtsstellung des Vertragspartners beeinträchtigt, desto eher ist sie als ungewöhnlich zu qualifizieren (BGE 119 II 443 E. 1a S. 446 mit Hinweis). Als ungewöhnlich erachtete das Bundesgericht etwa eine im Rahmen vorformulierter allgemeiner Versicherungsbedingungen enthaltene Klausel, welche die Versicherungsdeckung für die Haftung gegenüber Temporärangestellten nur für leichtes, nicht jedoch für schweres Verschulden der Versicherungsnehmerin ausschloss (Urteil 4A_187/2007 vom 9. Mai 2008 E. 5.4). Sodann wurde der Ausschluss des Versicherungsschutzes einer Vollkaskoversicherung für den Fall einer einfachen Verkehrsregelverletzung als ungewöhnlich qualifiziert (BGE 119 II 443 E. 1b S. 446 f.) sowie eine Klausel, welche die Bank zur Auszahlung des Sparheftguthabens ohne Prüfung der Identität des Inhabers ermächtigte (BGE 116 II 459 E. 2a S. 461 f.). Hingegen beur- teilte das Bundesgericht eine Bestimmung nicht als ungewöhnlich, wo- nach der Kunde das Risiko des Verlusts oder Diebstahls von Euro- checks zu tragen hat (BGE 122 III 373 E. 3a S. 378 f.) sowie eine Klausel, die einen Deckungsausschluss für Krankheiten und Unfälle im Zusammenhang mit Medikamentenmissbrauch und Suizidversuch vor- sah (Urteil 5C.134/2004 vom 1. Oktober 2004 E. 4). 2.2 In der Lehre wird seit geraumer Zeit überwiegend gefordert, dass global in den Vertrag integrierte vorformulierte allgemeine Geschäfts- bedingungen inhaltlich überprüft werden und ihnen die Geltung ver- sagt werde, wenn sie zu Lasten der anderen Vertragspartei unange- messen bzw. geschäftsfremd sind, weil sie die Risiken und Lasten un- billig verteilen. Die Lehre sieht in der Rechtsprechung des Bundesge- richts zur AGB-Problematik eine verdeckte Inhaltskontrolle, die unter dem Deckmantel der Ungewöhnlichkeitsregel vorgenommen werde Seite 7</w:t>
      </w:r>
    </w:p>
    <w:p>
      <w:r>
        <w:t>(THOMAS KOLLER, Einmal mehr: das Bundesgericht und seine verdeckte AGB-Inhaltskontrolle, in: AJP 2008 S. 943 ff.; SCHWENZER, Schweizeri- sches Obligationenrecht, Allgemeiner Teil, 4. Aufl. 2006, Rz. 45.12 f. und 46.07; BUCHER, Basler Kommentar, N. 63 f. zu Art. 1 OR; GUHL/KOLLER/SCHNYDER/DRUEY, Das Schweizerische Obligationenrecht, 9. Aufl. 2000, § 13 Rz. 53 f.; KRAMER, Berner Kommentar, N. 291 ff. zu Art. 19-20 OR und N. 208 zu Art. 1 OR; GAUCH/SCHLUEP/SCHMID, Schwei- zerisches Obligationenrecht, Allgemeiner Teil, Band I, 9. Aufl. 2008, Rz. 1148 ff.; HUGUENIN, Obligationenrecht, Allgemeiner Teil, 3. Aufl. 2008, Rz. 431; STEPHAN FUHRER, Basler Kommentar, N. 229 ff. zu Art. 33 VVG; ALEXANDER BRUNNER, Die Kontrolle Allgemeiner Geschäftsbedin- gungen in der aktuellen schweizerischen Lehre und Praxis, in: ZSR 118/1999 I S. 328 ff.; HELMUT HEISS, Der Vorentwurf einer "Gesamtrevi- sion des BG über den Versicherungsvertrag [VVG]" im Lichte der europäischen Entwicklungen, in: HAVE 3/2007 S. 243, je mit zahl- reichen Hinweisen; vgl. auch HUGUENIN, Allgemeine Geschäftsbedin- gungen in der Schweiz im Lichte der neuen EU-Richtlinie über miss- bräuchliche Klauseln in Verbraucherverträgen, in: recht 3/1995 S. 87 f.; GAUCH, Die Vertragshaftung der Banken und ihre AVB, in: recht 3/2006 S. 83 f.; ROLF H. WEBER, Allgemeine Geschäftsbedingungen der Banken – zum Problem einer Grenzziehung, in: Schweizerische Aktiengesellschaft 1984 S. 152 und 155 ff. mit weiteren Hinweisen in Fn. 62; BAUDENBACHER, Braucht die Schweiz ein AGB-Gesetz?, in: ZBJV 123/1987 S. 512 ff.). Im VE-VVG wird vorgeschlagen, die AGB-Problematik mit einem neu- en Art. 20a Abs. 1 OR zu regeln. Danach sollen Bestimmungen in vor- formulierten allgemeinen Vertragsbedingungen missbräuchlich und un- wirksam sein, wenn sie den Vertragspartner des Verwenders unange- messen benachteiligen. Gemäss Absatz 2 ist eine unangemessene Benachteiligung namentlich dann anzunehmen, wenn eine Bestim- mung mit wesentlichen Grundsätzen der gesetzlichen Regelung, von der zu Lasten des Vertragspartners abgewichen wird, nicht zu verein- baren ist. Durch die Regelung im OR würde eine Inhaltskontrolle nicht nur allgemeine Versicherungsbedingungen, sondern auch andere all- gemeine Geschäftsbedingungen betreffen (vgl. Eidgenössisches Finanzdepartement, Erläuternder Bericht zum Vorentwurf der Gesamt- revision des Bundesgesetzes über den Versicherungsvertrag [VVG] 2006,</w:t>
      </w:r>
    </w:p>
    <w:p>
      <w:r>
        <w:t>S.</w:t>
      </w:r>
    </w:p>
    <w:p>
      <w:r>
        <w:t>94</w:t>
      </w:r>
    </w:p>
    <w:p>
      <w:r>
        <w:t>f.,</w:t>
      </w:r>
    </w:p>
    <w:p>
      <w:r>
        <w:t>abrufbar</w:t>
      </w:r>
    </w:p>
    <w:p>
      <w:r>
        <w:t>unter http://www.efd.admin.ch/dokumentation/zahlen/00578/01068/index.ht ml?lang=de&amp;print_style=yes). 2.3 Aus den Feststellungen der Vorinstanz ergibt sich nicht, dass die Beschwerdegegnerin die Beschwerdeführer ausdrücklich auf Art. 4 Seite 8</w:t>
      </w:r>
    </w:p>
    <w:p>
      <w:r>
        <w:t>Abs. 2 AGB 2005 hingewiesen hätte. Die Beschwerdegegnerin be- hauptet zwar, es sei hinreichend und deutlich auf "die Bestimmungen" der AGB hingewiesen worden. Soweit sie damit geltend machen sollte, sie habe die Beschwerdeführer besonders auf Art. 4 Abs. 2 ihrer AGB 2005 hingewiesen, erhebt sie keine hinreichend begründete Sachver- haltsrüge (Art. 97 Abs. 1 in Verbindung mit Art. 42 Abs. 2 BGG). Es ist daher davon auszugehen, dass die Beschwerdeführer bei Abschluss der umstrittenen Verträge nicht ausdrücklich und deutlich auf Art. 4 Abs. 2 AGB 2005 aufmerksam gemacht worden sind. Folglich ist zu prüfen, ob der in den AGB 2005 der Beschwerdegegnerin vorgesehe- ne Ausschluss der Kündigung bei Vertragsänderungen aufgrund be- hördlicher Anordnung als ungewöhnlich zu qualifizieren ist, so dass die Beschwerdegegnerin nicht in guten Treuen annehmen durfte, die Beschwerdeführer hätten der Klausel mit der Globalübernahme der AGB 2005 zugestimmt. 2.4 Verträge aus gültig zustande gekommenen Verträgen sind so zu erfüllen, wie sie vereinbart worden sind ("pacta sunt servanda"), so- weit die Parteien nicht einvernehmlich eine neue Vertragsregelung treffen. Zwar ist nach der so genannten "clausula rebus sic stantibus" eine richterliche Anpassung auch gegen den Willen einer Partei mög- lich, wenn sich die Umstände nach Vertragsabschluss so grundlegend ändern, dass eine gravierende Äquivalenzstörung eintritt (vgl. BGE 127 III 300 E. 5b S. 304 f. mit Hinweisen). Eine Anpassung der vertraglich bestimmten Leistungen ist gesetzlich etwa für den Werk- vertrag bei unvorhersehbaren ausserordentlichen Umständen vorgese- hen (Art. 373 Abs. 2 OR). Aus wichtigen Gründen wird den Parteien beim Arbeitsvertrag (Art. 337 Abs. 1 OR) und beim Mietvertrag (Art. 266g Abs. 1 OR) sodann von Gesetzes wegen ein ausserordentli- ches Kündigungsrecht eingeräumt. Für Dauerverträge hat die Recht- sprechung zudem regelmässig ein Kündigungsrecht aus wichtigem Grund angenommen (BGE 128 III 428 E. 3 S. 429 mit Hinweis). Vor- aussetzung für eine richterliche Vertragsanpassung nach der "clausula rebus sic stantibus" ist, dass die Verhältnisänderung beim Abschluss des Vertrags weder voraussehbar noch vermeidbar war (BGE 127 III 300 E. 5b S. 304 f. mit Hinweisen). 2.5 Rechnen die Parteien bei Vertragsabschluss mit künftigen Ereig- nissen, können sie für diesen Fall eine Anpassung vertraglich vorse- hen. Dadurch wird der einen Partei das (Gestaltungs-)Recht einge- räumt, vom Prinzip der Vertragstreue abzuweichen und einseitig die Vertragsbestimmungen zu ändern. Damit Anpassungsklauseln aber überhaupt gültig sind, müssen regelmässig sowohl das erwartete Er- eignis als auch der Umfang der Anpassung vertraglich bestimmt wer- Seite 9</w:t>
      </w:r>
    </w:p>
    <w:p>
      <w:r>
        <w:t>den, denn ein Vertrag kommt nur zustande, wenn Leistungsinhalt so- wie -umfang mindestens bestimmbar sind und so auch erfüllt werden können (BGE 84 II 266 E. 2 S. 272; vgl. KRAMER, a.a.O., Allgemeine Einleitung, N. 74 f.; BUCHER, a.a.O., N. 22 ff. zu Art. 1 OR; VON TUHR/PETER, Allgemeiner Teil des Schweizerischen Obligationenrechts, Band I, 3. Aufl. 1979, S. 51 f.; GAUCH/SCHLUEP/SCHMID, a.a.O., Rz. 344 ff.; KOLLER, Schweizerisches Obligationenrecht, Allgemeiner Teil, Band I, 2006, S. 101 ff.; HANS MERZ, Obligationenrecht, Allgemeiner Teil, in: Schweizerisches Privatrecht, Band VI/1, 1984, S. 119 f.; vgl. auch BGE 118 II 32 E. 3a S. 33 zur Bestimmtheit des Vorvertrags sowie KRAMER, a.a.O., N. 87 f. zu Art. 22 OR und BUCHER, a.a.O., N. 33 zu Art. 22 OR). Ein undefiniertes Gestaltungsrecht zur einseitigen Abän- derung vertraglicher Leistungspflichten widerspräche der Natur und dem Zweck des Vertrags, mit dem Rechte und Pflichten jeder Ver- tragspartei gerade definiert werden sollen. 2.6 Nicht jede zulässige – inhaltlich bestimmte oder bestimmbare – Anpassungsklausel ist üblich im Sinne der Ungewöhnlichkeitsregel. In gewissen Branchen dürfte es zwar durchaus üblich sein, bei bestimm- ten Verträgen eine Anpassung vereinbarter Preise an die Teuerung nach einem bestimmten Index vorzusehen. Ist ein künftiges Ereignis jedoch zu wenig definiert oder nicht hinreichend bestimmt, räumen sich die Parteien regelmässig ein Kündigungsrecht ein. So kann der Vermieter bzw. der Krankenversicherer nach Art. 269d OR bzw. Art. 7 Abs. 2 KVG den Vertrag einseitig anpassen, wobei dem Mieter bzw. dem Krankenversicherten – unabhängig vom Ausmass der Änderung – das Kündigungsrecht zusteht (vgl. auch BGE 132 III 24 E. 3.2 S. 27, wonach der Umstand, dass einseitige Vertragsänderungen im laufen- den Mietverhältnis in Abweichung vom Grundsatz "pacta sunt servan- da" zulässig sind, nach besonderen Schutzvorschriften des Mieters ruft). Bei Dauerverträgen entspricht es der allgemeinen Erwartungs- haltung, dass eine Anpassungsklausel mit einem Kündigungsrecht verbunden ist, wenn sie auf einem nicht hinreichend bestimmten Er- eignis beruht. 3. Die Beschwerdegegnerin behält sich in Ziff. 4 Abs. 1 ihrer AGB 2005 das Recht vor, die Prämien und Selbstbehalte zu ändern, räumt dem Versicherten jedoch das Kündigungsrecht ein, sollte er mit der Ände- rung nicht einverstanden sein. Beruht die Vertragsänderung aber auf einer behördlichen Anordnung bei einer gesetzlich geregelten Deckung, wird das Kündigungsrecht des Versicherten ausgeschlossen (Ziff. 4 Abs. 2 AGB 2005). Seite 10</w:t>
      </w:r>
    </w:p>
    <w:p>
      <w:r>
        <w:t>3.1 Die Vorinstanz verneinte die objektive Ungewöhnlichkeit von Ziff. 4 Abs. 2 AGB 2005. Sie erwog, dass zwingende behördliche An- ordnungen über den vertraglichen Vereinbarungen stünden und in gleichem Masse für alle Beteiligten gelten würden, die Partei eines von der behördlichen Regelung betroffenen Versicherungsvertrags seien. Es ergebe sich keine Schlechterstellung aus dem Umstand, dass die Beschwerdeführer keine zusätzliche ausserordentliche Kündi- gungsmöglichkeit hätten; eine solche sei in Fällen behördlicher Anord- nung einerseits nicht zu erwarten und anderseits sei den Beschwerde- führern bei Vertragsabschluss durchaus bewusst gewesen, welche Bindung sie eingingen. Als sich die Beschwerdeführer entschlossen hätten, den Versicherungsvertrag mit der Beschwerdegegnerin abzu- schliessen, hätten sie damit rechnen müssen, dass während der Ver- tragsdauer ein anderer Versicherer ein für sie attraktiveres Angebot machen könnte oder sich die gesetzlichen Bedingungen ändern wür- den, sie aber trotzdem an ihren bestehenden Vertrag gebunden blie- ben. Ziff. 4 Abs. 2 AGB 2005 verändere demnach weder wesentlich die Vertragsnatur noch falle sie in erheblichem Masse aus dem ge- setzlichen Rahmen des Vertragstypus. Die Ausgestaltung der Ver- tragsanpassung sei das Resultat hoheitlicher Interessenabwägungen, die sich auf sämtliche Versicherungsverträge in gleicher Weise auswir- ke und entspringe nicht der Willkür des Versicherers. 3.2 Das VVG enthält keine Bestimmung zur einseitigen Vertragsan- passung. Eine solche Norm wurde auch im Rahmen der Totalrevision des VAG und der Teilrevision des VVG nicht aufgenommen, so dass sich der Inhalt und die Tragweite des Rechts des Versicherers auf ein- seitige Änderung laufender Verträge nach den allgemeinen Grundsät- zen des subsidiär anwendbaren OR zu richten haben (vgl. Botschaft vom 9. Mai 2003 zu einem Gesetz betreffend die Aufsicht über Ver- sicherungsunternehmen [Versicherungsaufsichtsgesetz, VAG] und zur Änderung des Bundesgesetzes über den Versicherungsvertrag, BBl 2003 3806 f.; Art. 100 Abs. 1 VVG). Art. 38 Abs. 1 VE-VVG sieht nun vor, dass eine einseitige Prämienanpassungsklausel in den AGB nur gültig vereinbart werden kann für den Fall, dass sich die für die Prämienberechnung massgeblichen Verhältnisse nach Vertragsab- schluss in einer Weise ändern, welche die vorgesehene Erhöhung rechtfertigt. Absatz 3 derselben Bestimmung räumt dem Versiche- rungsnehmer das Recht ein, den Vertrag oder den von der Prämiener- höhung betroffenen Teil zu kündigen. Weder Art. 38 VE-VVG noch dem Erläuternden Bericht lässt sich entnehmen, ob auch solche Prämienerhöhungen bzw. Änderungen der Vertragsgrundlagen erfasst sind, die ihren Ursprung in einer behördlichen Anordnung haben. Als allgemeine Versicherungsbedingungen der präventiven Kontrolle Seite 11</w:t>
      </w:r>
    </w:p>
    <w:p>
      <w:r>
        <w:t>durch das Bundesamt für Privatversicherungen unterstanden, wurden Prämienanpassungsklauseln, die kein Kündigungsrecht vorsahen, nicht genehmigt (vgl. FUHRER, Aufpassen beim Anpassen – Möglichkei- ten und Grenzen der einseitigen Änderung von Versicherungsverträ- gen, in: Aktuelle Aspekte des Schuld- und Sachenrechts, Festschrift für Heinz Rey, 2003, S. 414). 3.3 Die Beschwerdegegnerin sieht in Ziff. 4 Abs. 2 ihrer AGB 2005 nicht nur vor, dass sie den Versicherungsvertrag anpassen kann, son- dern schliesst zugleich das Kündigungsrecht der Beschwerdeführer aus. Für die Beurteilung, ob der Ausschluss des Kündigungsrechts er- wartet wird, ist unerheblich, ob die Vertragsänderung auf einer behörd- lichen Anordnung beruht und von der Beschwerdegegnerin nachvoll- zogen oder von Letzterer selbst veranlasst wird. In beiden Fällen ist zur Zeit des Vertragsabschlusses unklar, wann, wie oft und in wel- chem Ausmass sich die Prämie bzw. die Vertragsgrundlagen ändern. Die Änderung der Vertragsgrundlagen kann sodann nicht auf eine all- gemein bekannte Entwicklung zurückgeführt werden, die mit einer ge- wissen Regelmässigkeit eintritt. Es kommt auch nicht darauf an, ob die konkrete Änderung massvoll ausfällt und für sich betrachtet zumutbar ist. Dass die Beschwerdegegnerin für den in Ziff. 4 Abs. 2 AGB 2005 vorgesehenen Fall der Vertragsanpassung das Kündigungsrecht des Versicherungsnehmers ausschliesst, widerspricht der allgemeinen Er- wartungshaltung der Beschwerdeführer und ist ungewöhnlich im Sinne der bundesgerichtlichen Rechtsprechung. Entgegen der Ansicht der Vorinstanz mussten die Beschwerdeführer bei Vertragsabschluss nicht damit rechnen, dass sich die Vertragsgrundlagen während der verein- barten Vertragsdauer ändern würden, ohne dass ihnen dann die Kün- digung offen stünde. 3.4 Das Argument der Beschwerdegegnerin ist nicht stichhaltig, dass die behördliche Anordnung alle Versicherungsunternehmen gleicher- massen betroffen habe. Die Elementarschadenversicherung für den Hausrat ist in den Wohnsitzkantonen der Beschwerdeführer nicht obli- gatorisch, und die Beschwerdeführer könnten angesichts der vorlie- genden Anpassung einen Verzicht auf die Versicherung bevorzugen, so dass sie insofern – entgegen der Auffassung der Vorinstanz – schlechter gestellt sind, wenn ihnen kein Kündigungsrecht zusteht. Aus demselben Grund ist das Argument der Beschwerdegegnerin un- behelflich, es läge keine Gleichgewichtsverschiebung vor, da mit der Anpassung der Prämie und des Selbstbehalts eine Erhöhung der Höchsthaftungslimite verbunden sei. 3.5 Die Vorinstanz hat Ziff. 4 Abs. 2 der AGB 2005 der Beschwerde- Seite 12</w:t>
      </w:r>
    </w:p>
    <w:p>
      <w:r>
        <w:t>gegnerin zu Unrecht nicht als ungewöhnlich qualifiziert. Die Beschwer- deführer müssen sich die Klausel somit nicht entgegenhalten lassen und konnten das Kündigungsrecht ausüben. Infolge der Ungewöhn- lichkeit der Klausel stellt sich die Frage nicht, ob die bisherige Praxis zur Geltung global übernommener, ungewöhnlicher Klauseln auf eine von der herrschenden Lehre geforderte richterliche Inhaltskontrolle ausgedehnt werden soll. Ob es inhaltlich gerechtfertigt ist, das Kündi- gungsrecht für den Fall einer behördlichen Anordnung auszuschlies- sen, ist demnach nicht zu prüfen. Dass die Beschwerdeführer die Versicherungsverträge mit der Be- schwerdegegnerin nicht rechtzeitig gekündigt hätten, bringt die Be- schwerdegegnerin nicht substanziiert vor. 4. Die Beschwerde ist gutzuheissen, und der angefochtene Entscheid ist aufzuheben. Es ist festzustellen, dass durch die Kündigung des Be- schwerdeführers 1 vom 16. November 2006 der mit der Beschwerde- gegnerin geschlossene Hausrat- und Privathaftpflichtversicherungs- vertrag (Police-Nr. 0.430.749.289) auf den 31. Dezember 2006 aufge- hoben worden ist. Ferner ist festzustellen, dass durch die Kündigung des Beschwerdeführers 2 vom 21. Dezember 2006 der mit der Be- schwerdegegnerin geschlossene Hausrat- und Privathaftpflichtversi- cherungsvertrag (Police Nr. 4.000.049.718) auf den 31. Dezember 2006 aufgehoben worden ist. Zur Neuverlegung der Kosten und Entschädigungen des kantonalen Verfahrens ist die Sache an die Vorinstanz zurückzuweisen (Art. 67 und Art. 68 Abs. 5 BGG). Die Gerichtskosten und Parteientschädigung für das bundesgericht- liche Verfahren sind ausgangsgemäss der unterliegenden Beschwer- degegnerin aufzuerlegen (Art. 66 Abs. 1 und Art. 68 Abs. 2 BGG). Seite 13</w:t>
      </w:r>
    </w:p>
    <w:p>
      <w:r>
        <w:t>Demnach erkennt das Bundesgericht: 1. Die Beschwerde wird gutgeheissen und der Entscheid des Kreisge- richts St. Gallen, Präsidentin der 1. Abteilung, vom 15. April 2008 auf- gehoben, und es wird festgestellt, dass - durch die Kündigung des Beschwerdeführers 1 vom 16. November 2006 der mit der Beschwerdegegnerin geschlossene Hausrat- und Privathaftpflichtversicherungsvertrag (Police-Nr. 0.430.749.289) auf den 31. Dezember 2006 aufgehoben worden ist und - durch die Kündigung des Beschwerdeführers 2 vom 21. Dezember 2006 der mit der Beschwerdegegnerin geschlossene Hausrat- und Privathaftpflichtversicherungsvertrag (Police Nr. 4.000.049.718) auf den 31. Dezember 2006 aufgehoben worden ist. 2. Die Sache wird zur Neuverlegung der Kosten und Entschädigungen des kantonalen Verfahrens an die Vorinstanz zurückgewiesen. 3. Die Gerichtskosten von Fr. 1'000.-- werden der Beschwerdegegnerin auferlegt. 4. Die Beschwerdegegnerin hat die Beschwerdeführer für das bundesge- richtliche Verfahren mit insgesamt Fr. 1'500.-- zu entschädigen. 5. Dieses Urteil wird den Parteien und dem Kreisgericht St. Gallen, Präsidentin der 1. Abteilung, schriftlich mitgeteilt. Lausanne, 28. Oktober 2008 Im Namen der I. zivilrechtlichen Abteilung des Schweizerischen Bundesgerichts Der Präsident: Die Gerichtsschreiberin: Corboz Feldmann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