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20080305_i_ti_o_01 vom 5. März 2008</w:t>
      </w:r>
    </w:p>
    <w:p>
      <w:r>
        <w:t>FINMA Versicherungsrecht, 2008-03-05, IT</w:t>
      </w:r>
    </w:p>
    <w:p>
      <w:r>
        <w:rPr>
          <w:b/>
        </w:rPr>
        <w:t xml:space="preserve">Quelle: </w:t>
      </w:r>
      <w:r>
        <w:t>https://mcp.opencaselaw.ch/entscheid/finma_versicherungsrecht_20080305_i_ti_o_01</w:t>
      </w:r>
    </w:p>
    <w:p>
      <w:r>
        <w:t>FR: FINMA_VERSICHERUNGSRECHT 20080305_i_ti_o_01 du 5 mars 2008</w:t>
      </w:r>
    </w:p>
    <w:p>
      <w:r>
        <w:t>IT: FINMA_VERSICHERUNGSRECHT 20080305_i_ti_o_01 del 5 marzo 2008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gennaio 2009 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