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20071017_f_ch_o_01 vom 17. Oktober 2007</w:t>
      </w:r>
    </w:p>
    <w:p>
      <w:r>
        <w:t>FINMA Versicherungsrecht, 2007-10-17, FR</w:t>
      </w:r>
    </w:p>
    <w:p>
      <w:r>
        <w:rPr>
          <w:b/>
        </w:rPr>
        <w:t xml:space="preserve">Quelle: </w:t>
      </w:r>
      <w:r>
        <w:t>https://mcp.opencaselaw.ch/entscheid/finma_versicherungsrecht_20071017_f_ch_o_01</w:t>
      </w:r>
    </w:p>
    <w:p>
      <w:r>
        <w:t>FR: FINMA_VERSICHERUNGSRECHT 20071017_f_ch_o_01 du 17 octobre 2007</w:t>
      </w:r>
    </w:p>
    <w:p>
      <w:r>
        <w:t>IT: FINMA_VERSICHERUNGSRECHT 20071017_f_ch_o_01 del 17 ottobre 2007</w:t>
      </w:r>
    </w:p>
    <w:p>
      <w:pPr>
        <w:pStyle w:val="Heading2"/>
      </w:pPr>
      <w:r>
        <w:t>Erwägungen</w:t>
      </w:r>
    </w:p>
    <w:p>
      <w:r>
        <w:rPr>
          <w:b/>
        </w:rPr>
        <w:t>E. 1</w:t>
      </w:r>
    </w:p>
    <w:p>
      <w:r>
        <w:t>Le jugement attaqué ayant été rendu avant l'entrée en vigueur, le 1 er janvier 2007 (RO 2006 1205, 1242), de la loi fédérale du 17 juin 2005 sur le Tribunal fédéral (LTF; RS 173.110), l'ancienne loi d'organisation judiciaire (OJ) est applicable à la présente cause (art. 132 al. 1 LTF).</w:t>
      </w:r>
    </w:p>
    <w:p>
      <w:r>
        <w:rPr>
          <w:b/>
        </w:rPr>
        <w:t>E. 2</w:t>
      </w:r>
    </w:p>
    <w:p>
      <w:r>
        <w:t>Aux termes de Part. 57 al. 5 OJ, il est sursis en regle générale à rare sur le recours en réforme jusqu'à droit connu sur le recours de droit public. La jurisprudence déroge toutefois ä cet ordre de priorité dans des situations particuliöres, qui justifient l'examen préalable du recours en réforme. II en va notamment ainsi lorsque la décision sur le recours de droit public ne peut avoir aucune incidence sur le sort du recours en réforme (ATF,123 III 213 consid. 1; 122 I 81 consid. 1; 120 la 377 consid. 1), ce qui sera notamment le cas lorsque le recours en réforme apparait irrecevable (ATF 117 II 630 consid. 1 a) ou, inversement, s'iI parait devoir, être admis indépendamment des griefs soulevés dans le recours de droit public (ATF 122 181 consid. 1; 120 la 377 consid. 1 et les arrêts cités). Cette dernière hypothèse étant réalisée en l'espèce, il se justifie de traiter le recours en réforme avant le recours de droit public. Page 4</w:t>
      </w:r>
    </w:p>
    <w:p>
      <w:r>
        <w:rPr>
          <w:b/>
        </w:rPr>
        <w:t>E. 3</w:t>
      </w:r>
    </w:p>
    <w:p>
      <w:r>
        <w:t>Interjeté en temps utile (art. 54 al. 1 OJ) contre une décision finale rendue par l'autorité suprême du canton (art. 48 al. 1 OJ), dans une contestation civile de nature pécuniaire dont la valeur atteint manifestement 8'000 fr. (art. 46 OJ), le recours est recevable en vertu de ces dispositions.</w:t>
      </w:r>
    </w:p>
    <w:p>
      <w:r>
        <w:rPr>
          <w:b/>
        </w:rPr>
        <w:t>E. 4</w:t>
      </w:r>
    </w:p>
    <w:p>
      <w:r>
        <w:t>La défenderesse soutient que la cour cantonale a violé les art. 8 CC et 40 LCA en considérant que les résiliations intervenues le 19 octobre 2000 n'étaient pas valables au motif que l'assurance n'aurait pas établi l'existence d'une intention frauduleuse du demandeur. Elle affirme qu'elle a allégué et prouvé les faits permettant de déduire l'existence d'une teile intention.</w:t>
      </w:r>
    </w:p>
    <w:p>
      <w:r>
        <w:rPr>
          <w:b/>
        </w:rPr>
        <w:t>E. 4.1</w:t>
      </w:r>
    </w:p>
    <w:p>
      <w:r>
        <w:t>Sous le titre marginal "prétention frauduleuse", Part.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Part. 39 LCA, l'assureur n'est pas lié par le contrat envers l'ayant droit. II faut ainsi d'abord, d'un point de vue objectif, que la dissimulation ou la déclaration inexacte porte sur des faits qui sont propres à influencer l'existence ou l'étendue d'une obligation de l'assureur, autrement dit que sur la base d'une déclaration correcte des faits en question, l'assureur n'aurait versé qu'une prestation moindre ou même aucune prestation (JÜRG NEF, Commentaire bâlois, n. 16 ad art. 40 LCA et les références citées). II faut en outre, d'un point de vue subjectif, que l'ayant droit ait agi avec la conscience et la volonté d'induire l'assurance en erreur, sans qu'il importe qu'il soit parvenu ou non à ses fins (JÜRG NEF, op. cit., n. 17 et 24 ad art. 40 LCA). En vertu de l'art. 8 CC — selon lequel chaque partie doit, si la Ioi ne prescrit le contraire, prouver les faits qu'elle allègue pour en déduire son droit — il incombe ä l'assureur de prouver l'intention frauduleuse (arrêt 5C.11/2002 du 11 avril 2002 in : JdT 2001 531 consid. 2a; JÜRG NEF, op. cit., n. 25, 57 et 61 ss ad art. 40 LCA; BERNARD VIRET, Droit des assurances privées, 3e éd., 1991, p. 143). Si cette preuve ne peut être déduite des seules circonstances objectives, soit de l'inexactitude relative aux circonstances du sinistre ou au montant du dommage (THOMAS PFISTER, Versicherungsbetrug : zivilrechtliche Aspekte in : Münch/Geiser, Schaden — Haftung — Versicherung, n. 21.27 et les rét citées), elle doit en principe être tenue pour rapportée lorsque l'assureur prouve que l'ayant droit a Page 5</w:t>
      </w:r>
    </w:p>
    <w:p>
      <w:r>
        <w:t>falsifié des titres (facture, quittance, attestation) ou lorsqu'une erreur dans i'indication du montant du dommage est exclue, de teile sorte que l'ayant droit ne pouvait qu'etre conscient de l'inexactitude du montant inclique WÜRG NEF, op. cit. n. 62 et 64 ad art. 40 LCA et les rét citées). Etablir la conscience et la volonté reléve de la constatation des faits qui lie le Tribunal fédéral (art. 63 al. 2 OJ; ATF 132 III 268 consid. 2. 3.2; 125 IV 242 consid. 3c p. 252). En revanche, déterminer s'il faut admettre qu'il y a eu intention frauduleuse au sens de Part. 40 LCA en se fondant sur les éléments de faits constatés par l'instance précédente, notamment ceux qui concernent la conscience et la volonte de l'assure, est une question de droit que le Tribunal fédéral revoit librement (arret du Tribunal fédéral du 18 octobre 1922 in : RBA V n° 176 p. 358 ss, 361 et plus récemment, arrêts 5C.99/2002 du 12 juin 2002 consid. 3.4, 5C.52/1997 du 24 juin 1998 consid. 3b/bb).</w:t>
      </w:r>
    </w:p>
    <w:p>
      <w:r>
        <w:rPr>
          <w:b/>
        </w:rPr>
        <w:t>E. 4.2</w:t>
      </w:r>
    </w:p>
    <w:p>
      <w:r>
        <w:t>En l'espèce, la cour cantonale a considere que l'assure avait declare de manière inexacte des faits qui auraient permis à l'assureur de réduire les prestations allouées. Elle a cependant juge que les résiliations du 19 octobre 2000 n'étaient pas valables car la defenderesse n'avait pas prouvé l'existence d'une intention frauduleuse de l'assuré. Elle n'avait en effet pas allégué l'existence d'une teile intention et aucun élément du dossier ne permettait de l'etablir. Or, ressort des constatations de l'instance precedente que rasstare a fait en août 2000 des declarations concernant ses capacités de travail et de gain qui étaient inexactes, ce qu'il ne pouvait ignorer. Alors qu'il affirmait ne pouvoir exécuter que des tâches de bureau, ,ce qui représentait une capacité de travail de 15 %, et etre incapable d'exercer son travail habituel de maréchal-ferrant, il a précisément été observé à la même époque occupé au ferrage des chevaux. C'est dire qu'il était nécessairement conscient de la fausseté de sa reponse. Concernant sa capacité de travail, ses declarations étaient en contradiction avec les constatations des medecins qui attestaient d'une capacité de travail de 30 % (certificats des 10 mars et 14 avril 1999 et rapport du 23 novembre 1999 etablis par le Dr J. ), voire de 50 % (certificat du 12 février 2000 de la Dresse F. ). A nouveau, le demandeur ne pouvait ignorer que les renseignements qu'il fournissait étaient inexacts puisqu'il avait connaissance de ces rapports médicaux. Sur la base de ces constatations, l'intention frauduleuse de l'assure apparatt clairement établie. Par conséquent, les contrats d'assurance ont ete valablement résilies, ce qui conduit au Page 6</w:t>
      </w:r>
    </w:p>
    <w:p>
      <w:r>
        <w:t>rejet de I'action en constatation de la nullité des résiliations et en libération du paiement des primes. - 5. Vu le sort du recours, les frais judiciaires doivent être mis à la charge du demandeur (art. 156 al. 1 OJ). La défenderesse, qui a procédé à I'aide d'un avocat, a droit à des dépens (art. 159 al. 1 OJ). Pour le surplus, la cause sera renvoyée à la cour cantonale pour nouvelle décision sur les frais et dépens cantonaux (cf. art. 157 et 159 al. 6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