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20070604_i_ti_o_01 vom 4. Juni 2007</w:t>
      </w:r>
    </w:p>
    <w:p>
      <w:r>
        <w:t>FINMA Versicherungsrecht, 2007-06-04, IT</w:t>
      </w:r>
    </w:p>
    <w:p>
      <w:r>
        <w:rPr>
          <w:b/>
        </w:rPr>
        <w:t xml:space="preserve">Quelle: </w:t>
      </w:r>
      <w:r>
        <w:t>https://mcp.opencaselaw.ch/entscheid/finma_versicherungsrecht_20070604_i_ti_o_01</w:t>
      </w:r>
    </w:p>
    <w:p>
      <w:r>
        <w:t>FR: FINMA_VERSICHERUNGSRECHT 20070604_i_ti_o_01 du 4 juin 2007</w:t>
      </w:r>
    </w:p>
    <w:p>
      <w:r>
        <w:t>IT: FINMA_VERSICHERUNGSRECHT 20070604_i_ti_o_01 del 4 giugno 2007</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II TCA può dunque decidere nella composizione di un Giudice unico ai sensi dell'articolo 49 cpv. 2 della Legge sull'organizzazione giudiziaria (STFA del 21 luglio 2003 nella causa N., I 707/00) e 2 cpv. 1 LPTCA.</w:t>
      </w:r>
    </w:p>
    <w:p>
      <w:r>
        <w:rPr>
          <w:b/>
        </w:rPr>
        <w:t>E. 2</w:t>
      </w:r>
    </w:p>
    <w:p>
      <w:r>
        <w:t>Secondo quanto disposto dall'art. 1 a cpv. 1 LAMaI l'assicurazione sociale contro le malattie comprende</w:t>
      </w:r>
    </w:p>
    <w:p>
      <w:r>
        <w:t>Incarto n. Lugano 36.2007.75</w:t>
      </w:r>
    </w:p>
    <w:p>
      <w:r>
        <w:rPr>
          <w:b/>
        </w:rPr>
        <w:t>E. 4</w:t>
      </w:r>
    </w:p>
    <w:p>
      <w:r>
        <w:t>giugno 2007 "Force obligatoire Les prescriptions de cet art. ne peuvent pas être modifi ées conventionellement au détriment du preneur ou de l'ayant doit, selon l'art. 98 LCA. Elle est impérative pour toutes les branches d'assurances, sous réserve de celle de l'assurance-transport: cf. plus bas (Tciv. BS RBA V n° 209/219). Elle n'est cependant pas d'ordre public, ni d'ailleurs contraire aux moeurs, si le droit étranger, applicable au contrat, y déroge (CJ GE RBA X n° 50; Tciv. BS RBA V n° 209/219 all.). Ainsi, les parties peuvent valablement convenir d'un délai de prescription, ou de déchéance, plus long que le délai légal (ATF 74 II 97 all., JdT 1948 1592, RBA X n° 49; ATF 6o II 445 all., JdT 1935 I 208, rés. SJ1935p. 349, RBA VII n° 182). La jurisprudence a écarté la théorie selon laquelle l'art. 46 LCA aurait été rangé par inadvertance dans les dispositions relativement impératives de la loi, et non dans celles, qui sont absolument impératives au sens de l'art. 97 LCA (ATF 48 II 284, JdT 1923 I 162, RBA V n° 213; CCC FR RBA XIII n° 56). Un autre délai, plus court, de prescription, ou de péremption (cf ci- après), peut en effet être stipulé en matière d'assurance-transport(...)"</w:t>
      </w:r>
    </w:p>
    <w:p>
      <w:r>
        <w:rPr>
          <w:b/>
        </w:rPr>
        <w:t>E. 5</w:t>
      </w:r>
    </w:p>
    <w:p>
      <w:r>
        <w:t>Circa la prescrizione delle indennità giornaliere di malattia il TF, in DTF 127 III 268, ha affermato che l'obbligo di indennizzare è, nel caso giudicato, scaturito dall'incapacità lavorativa comprovata da un attestato medico e dal decorso del termine di attesa convenzionale. Le indennità giornaliere richieste per la durata della malattia si prescrivono complessivamente in due anni a partire da tale momento. Il TFA ha affermato: "2.- a) Die Vorinstanz ist davon ausgegangen, dass die zweijährige Verjährungsfrist von Art. 46 des Bundesgesetzes vom 2. April 1908 über den Versicherungsvertrag (VVG; SR 221.229.1) durch jenes Ereignis ausgelöst werde, welches die grundsätzliche Leistungspflicht des Versicherers zur Entstehung bringe. Gemäss Art. 10 lit. a der hier massgebenden Allgemeinen Versicherungsbedingungen (AVB) sei neben der ärztlich bescheinigten Arbeitsunfähigkeit der Ablauf der in der Police festgesetzten Wartefrist Voraussetzung für die Leistungspflicht des Versicherers. Mit Ablauf dieser Wartefrist habe die Verjährungsfrist für sämtliche aus diesem Versicherungsfall geschuldeten Krankentaggelder zu laufen begonnen. Dies sei am 7. Mai 1997 geschehen, sodass die Forderung am 23. Juni 1999, als der Kläger an den Vermittler gelangte, bereits verjährt gewesen sei. Gemäss Art. 46 Abs. 1 VVG verjähren die Forderungen aus dem Versicherungsvertrag in zwei Jahren nach Eintritt der Tatsache, welche die Leistungspflicht begründet. Als leistungsbegründende</w:t>
      </w:r>
    </w:p>
    <w:p>
      <w:r>
        <w:t>Incarto n. 36.2007.75 Lugano 4 giugno 2007 Tatsache im Sinne dieser Bestimmung erachteten Lehre und Rechtsprechung anfänglich das befürchtete Ereignis mit der Folge, dass fristauslösendes Moment der Versicherungsfall war (BGE 55 II 215 S. 220; 68 II 106 E. 1; 75 II 227 E. 2 S. 231; KÖNIG, Privatversicherungsrecht, 3. Aufl. 1967, S. 109; MAURER, Privatversicherungsrecht, 3. Aufl. 1995, S. 393; ROELLI/KELLER, Kommentar zum VVG, Bd. I, S. 668.). Diese Auffassung hat allerdings zur Konsequenz, dass die Verjährung unter Umständen schon eintritt, bevor der Versicherungsanspruch überhaupt fällig geworden ist (ROELLI/KELLER, a.a.O., S. 669). Im Hinblick auf dieses wenig befriedigende Ergebnis wurde später bezweifelt, ob es richtig sei, die Verjährung stets mit dem Eintritt des befürchteten Ereignisses beginnen zu lassen (dies trifft indessen für die Diebstahlversicherung zu, wo die Verjährung ab dem Schadenereignis und nicht ab dessen Kenntnis zu laufen beginnt: BGE 126 III 278 E. 7a S. 28o). Die neuere Lehre und Rechtsprechung weicht denn auch von der Einheitslösung ab, welche den Verjährungsbeginn generell mit dem Eintritt des Versicherungsfalles gleichsetzt, und stellt - wie der Kläger zu Recht vorbringt - je nach Versicherungsart und Leistungsanspruch auf unterschiedliche fristauslösende Ereignisse ab (vgl. die umfassende Darstellung der kantonalen und bundesgerichtlichen Urteile bei CARRÉ, Loi fédérale sur le contrat d'assurance, Lausanne 2000, S. 320 ff.). So verjährt in der Unfallversicherung der Anspruch auf eine Todesfallsumme erst zwei Jahre nach dem Tod der versicherten Person und nicht schon zwei Jahre nach dem Unfall (BGE 100 II 42 ff), und der Fristenlauf für die Verjährung einer Invaliditätsentschädigung beginnt mit jenem Tag, an welchem feststeht, dass eine Invalidität vorhanden ist (BGE 118 II 447 f). Eine wegen Erwerbsunfähigkeit geschuldete Rente aus Versicherungsvertrag verjährt bei jedem Unfallereignis in zwei Jahren seit dem Unglücksfall (BGE 111 II 501; SJ 1986 S. 513). In der Haftpflichtversicherung wird ebenfalls nicht auf das befürchtete Ereignis abgestellt, sondern aufjenen Zeitpunkt, wo die Haftpflicht der versicherten Person gerichtlich festgestellt wird (BGE 61 II 197; 68 II 106). In der Rechtsschutzversicherung beginnt die Verjährung, sobald der Bedarf nach Rechtsschutz aufkommt, was in der Regel dann der Fall ist, wenn sich der Rechtsstreit zwischen dem Versicherten und dem Dritten konkret abzeichnet (BGE 119 II 468 E. 2c). Diese Beispiele lassen erkennen, dass fristauslösendes Moment für die Verjährung jener Zeitpunkt ist, in welchem die die L e i s t u n g s p f l i c h t d e s V e r s i c h e r e r s b e g r ü n d e n d e n Tatbestandselemente feststehen. Bei Anwendung dieses Grundsatzes auf den vorliegenden Fall ergibt sich das Folgende. Art. 10 lit. a der hier massgeblichen AVB bestimmt: "Für die Dauer der ärztlich bescheinig ten Arbeitsunfähigkeit, frühestens jedoch nach Ablauf der in der Police festgesetzten Wartefrist, bezahlt die Y. das vereinbarte Taggeld." Die Leistungspflicht des Versicherers wird also ausgelöst durch die krankheitsbedingte, ärztlich bescheinigte Arbeitsunfähigkeit einerseits und durch den Ablauf der vereinbarten Wartefrist anderseits. Stehen diese beiden Tatbestandselemente fest, so ist die grundsätzliche Leistungspflicht der Versicherungsgesellschaft gegeben und beginnt damit die Verjährungsfrist zu laufen, und zwar für alle Tag gelder, die während "der Dauer der ärztlich bescheinigten Arbeitsunfähigkeit" (Art. 10 lit. a AVB) anfallen, endet doch der Versicherungsfall erst, wenn die versicherte Person wieder arbeitsfähig ist. In der Regel bestimmen die Policen, dass eine Leistungspflicht des Versicherers nur für die Zeit besteht, während</w:t>
      </w:r>
    </w:p>
    <w:p>
      <w:r>
        <w:t>Incarto n. 36.2007.75 Lugano 4 giugno 2007 welcher eine ärztliche Behandlung nötig ist; mit dieser gegenständlichen Gefahrsbeschränkung ist die Mitwirkung des Arztes gesichert. Die Taggeldentschädigung muss grundsätzlich, wenn sich nicht etwas anderes deutlich aus dem Vertrag ergibt, als einheitliche aufgefasst werden, die gesamthaft verjährt (THALMANN, Die Verjährung im Privatversicherungsrecht, Diss. Zürich 1939, S. 169; vgl. BGE 124 V 368 E. 2a für die Massgeblichkeit der ärztlichen Bescheinigung der Arbeitsunfähigkeit im KVG [SR 832.10]). Die Argumentation des Klägers, dass jeder einzelne Tag der krankheitsbedingten Arbeitsunfähigkeit ein eigenständiges leistungsbegründendes Ereignis mit fristauslösender Wirkung darstelle, geht deshalb fehl. Und der Versuch, seine These gemäss B G E 1 7 S . 3 1 3 E . 4 d u r c h e i n e A n l e i h e b e i m Sukzessivlieferungsvertrag zu stützen, bei welchem mit der Ablieferung einer einzelnen Warenpartie und nicht erst mit dem Ende aller Milchlieferungen die Gewährleistungsansprüche verjähren, erweist sich als untauglich. Hier ist vielmehr entscheidend, dass mit dem ärztlichen Attest der Arbeitsunfähigkeit und mit dem Ablauf der Wartefrist die für die Leistungspflicht der Y. massgebenden Tatbestandselemente feststanden und damit die zweijährige Verjährungsfrist für die Gegenstand dieser Leistungspflicht bildenden Krankentaggelder in Gang gesetzt wurde. Dem hat die Vorinstanz Rechnung getragen, indem sie die Verjährungsfrist mit jenem Ereignis beginnen liess, welches die grundsätzliche Leistungspflicht der Versicherungsgesellschaft zum Entstehen gebracht hat. Diese Auffassung ist bundesrechtskonform. Das Bundesgericht hat in BGE 111 II 501 E. 2 (SJ 1986 S. 513) befunden, die im Rahmen einer Lebensversicherung geschuldete jährliche Rente für Erwerbsausfall infolge Unfalls verjähre bei jedem Unfallereignis in zwei Jahren seit dem Unglücksfall. Das gilt in analoger Weise auch für die hier aufgrund einer privaten Krankenversicherung für die Dauer der krankheitsbedingten Arbeitsunfähigkeit geltend gemachten Taggelder." Nella fattispecie in esame con scritto del 27 ottobre 2003 l'assicuratore ha comunicato all'attore la rescissione del contratto a causa della reticenza (doc. 14). L'interessato ha presentato una "petizione" al TCA in data 31 ottobre 2006, ossia ben oltre il termine di due anni previsto dall'art. 46 LCA. Le pretese sono pertanto prescritte. In queste condizioni la petizione va respinta.</w:t>
      </w:r>
    </w:p>
    <w:p>
      <w:r>
        <w:rPr>
          <w:b/>
        </w:rPr>
        <w:t>E. 6</w:t>
      </w:r>
    </w:p>
    <w:p>
      <w:r>
        <w:t>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w:t>
      </w:r>
    </w:p>
    <w:p>
      <w:r>
        <w:t>Incarto n. Lugano 36.2007.75 4 giugno 2007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CHF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w:t>
      </w:r>
    </w:p>
    <w:p>
      <w:r>
        <w:rPr>
          <w:b/>
        </w:rPr>
        <w:t>E. 7</w:t>
      </w:r>
    </w:p>
    <w:p>
      <w:r>
        <w:t>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w:t>
      </w:r>
    </w:p>
    <w:p>
      <w:r>
        <w:t>Incarto n. Lugano 36.2007.75 4 giugno 2007</w:t>
      </w:r>
    </w:p>
    <w:p>
      <w:r>
        <w:rPr>
          <w:b/>
        </w:rPr>
        <w:t>E. 10</w:t>
      </w:r>
    </w:p>
    <w:p>
      <w:r>
        <w:t>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 concreto, il valore litigioso è rappresentato dalla pretesa di versamento formulata dall'attore di Fr. 5'800.-. Trattandosi di una causa di carattere pecuniario, non sono quindi dati gli estremi per interporre un eventuale ricorso in materia civile al Tribunale Federale sulla base del valore litigioso (art. 74 cpv. 1 lett. b LTF). Il ricorso è ugualmente ammissibile se la controversia concerne una questione di diritto di importanza fondamentale (art. 74 cpv. 2 lett. a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