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20051020_i_ti_o_00 vom 20. Oktober 2005</w:t>
      </w:r>
    </w:p>
    <w:p>
      <w:r>
        <w:t>FINMA Versicherungsrecht, 2005-10-20, IT</w:t>
      </w:r>
    </w:p>
    <w:p>
      <w:r>
        <w:rPr>
          <w:b/>
        </w:rPr>
        <w:t xml:space="preserve">Quelle: </w:t>
      </w:r>
      <w:r>
        <w:t>https://mcp.opencaselaw.ch/entscheid/finma_versicherungsrecht_20051020_i_ti_o_00</w:t>
      </w:r>
    </w:p>
    <w:p>
      <w:r>
        <w:t>FR: FINMA_VERSICHERUNGSRECHT 20051020_i_ti_o_00 du 20 octobre 2005</w:t>
      </w:r>
    </w:p>
    <w:p>
      <w:r>
        <w:t>IT: FINMA_VERSICHERUNGSRECHT 20051020_i_ti_o_00 del 20 ottobre 2005</w:t>
      </w:r>
    </w:p>
    <w:p>
      <w:pPr>
        <w:pStyle w:val="Heading2"/>
      </w:pPr>
      <w:r>
        <w:t>Erwägungen</w:t>
      </w:r>
    </w:p>
    <w:p>
      <w:r>
        <w:rPr>
          <w:b/>
        </w:rPr>
        <w:t>E. 20</w:t>
      </w:r>
    </w:p>
    <w:p>
      <w:r>
        <w:t>ottobre 2005 19 Siccome, singolarmente, le cause (Inc. n. 36.2004.107: costo del trattamento ortodontico: Fr. 6'000.-; Inc. n. 36.2004.108: Fr. 7'500.-) non raggiungono il valore litigioso di Fr. 8'000.-, non sono dati gli estremi per ciascuna attrice per interpone un eventuale ricorso per riforma al Tribunale Federale di Losanna. 2.13. Si osserva ancora che secondo l'a rt. 47 cpv. 4 LSA, i tribunali svizzeri devono trasmettere gratuitamente all'autorità di sorveglianza una copia di tutte le sentenze civili concernenti disposizioni del diritto in materia di contratto d'assicurazione. Con lettera del 14 agosto 2003 I'UFAP ha rammentato al TCA l'obbligo di trasmettere tutte le sentenze inerenti il diritto privato emesse, precisando che l'Ufficio federale delle assicurazioni private non ha la facoltà di ricorrere contro le stesse. Alla luce della citata Legge e dello scritto dell'UFAP, s'impone quindi di notificare all'autorità di sorveglianza anche la presente sentenza.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