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20050620_d_so_o_01 vom 20. Juni 2005</w:t>
      </w:r>
    </w:p>
    <w:p>
      <w:r>
        <w:t>FINMA Versicherungsrecht, 2005-06-20, DE</w:t>
      </w:r>
    </w:p>
    <w:p>
      <w:r>
        <w:rPr>
          <w:b/>
        </w:rPr>
        <w:t xml:space="preserve">Quelle: </w:t>
      </w:r>
      <w:r>
        <w:t>https://mcp.opencaselaw.ch/entscheid/finma_versicherungsrecht_20050620_d_so_o_01</w:t>
      </w:r>
    </w:p>
    <w:p>
      <w:r>
        <w:t>FR: FINMA_VERSICHERUNGSRECHT 20050620_d_so_o_01 du 20 juin 2005</w:t>
      </w:r>
    </w:p>
    <w:p>
      <w:r>
        <w:t>IT: FINMA_VERSICHERUNGSRECHT 20050620_d_so_o_01 del 20 giugno 2005</w:t>
      </w:r>
    </w:p>
    <w:p>
      <w:pPr>
        <w:pStyle w:val="Heading2"/>
      </w:pPr>
      <w:r>
        <w:t>Erwägungen</w:t>
      </w:r>
    </w:p>
    <w:p>
      <w:r>
        <w:rPr>
          <w:b/>
        </w:rPr>
        <w:t>E. 2</w:t>
      </w:r>
    </w:p>
    <w:p>
      <w:r>
        <w:t>Mit Schreiben vom 24.8.1999 stellte das Sozialamt Bettlach der Beklagten ein ärztliches Zeugnis zu, wonach der Kläger seit dem 1.7.1997 zu 100% arbeitsunfä- hig sei (klägerische Urkunde 3). Die Beklagte antwortete mit Schreiben vom 9.11.1999 und hielt fest, der Kläger habe im Oktober 1996 einen Unfall erlitten und die Suva habe die Taggeldleistungen per 30.6.1997 eingestellt. Obwohl er nach dem 1.7.1997 arbeitsunfähig geschrieben worden sei, habe er danach noch Arbeitslosengeld beziehen und bei der WEBO arbeiten können. Sie benötige noch die Angabe der Suva, weshalb der Unfall per 30.6.1997 abgeschlossen worden sei.</w:t>
      </w:r>
    </w:p>
    <w:p>
      <w:r>
        <w:rPr>
          <w:b/>
        </w:rPr>
        <w:t>E. 3</w:t>
      </w:r>
    </w:p>
    <w:p>
      <w:r>
        <w:t>Mit Vorladungsbegehren vom 29.6.2001 verlangte der Kläger, nunmehr vertreten durch Rechtsanwältin Susanne Schaffner-Hess, die Bezahlung eines Taggeldes von Fr. 139.-- ab 17.6.1999 für die Dauer von mindestens 720 Tagen abzüglich die für die massgebliche Zeit ausgerichtete IV- und Pensionskassenrenten zuzüglich Zins zu 5% ab wann rechtens. Dazu beantragte sie die Gewährung der vollumfängli- chen unentgeltlichen Rechtspflege. An der Aussöhnungsverhandlung vom 12.9.2001 kam keine Aussöhnung zustande. Auch ein undatierter Vergleichsvor- schlag der Beklagten, nunmehr vertreten durch Rechtsanwalt Dr. Urs Korner, scheiterte (kiägerische Urkunde 9).</w:t>
      </w:r>
    </w:p>
    <w:p>
      <w:r>
        <w:rPr>
          <w:b/>
        </w:rPr>
        <w:t>E. 4</w:t>
      </w:r>
    </w:p>
    <w:p>
      <w:r>
        <w:t>Mit zwei Verfügungen, je vom 15.10.2001 sprach die IV-Stelle Solothurn dem Kläger gestützt auf einen Invaliditätsgrad von 50% eine halbe Rente ab dem 1.6.1999 zu (klägerische Urkunden 6 und 7). Diese Verfügungen wurden vom Kläger angefochten und das Zivilverfahren wurde vom Amtsgerichtspräsidenten mehrmals, letztmals bis zum 31.8.2003 sistiert (act. 60). Mit Urteil vom 18.10.2002 hob das kantonale Versicherungsgericht die zweite Verfügung, die sich auf den Zeitraum ab dem 1.1.2001 bezieht, auf, und wies die IV-Stelle an, im Sinne der Erwägungen neu zu entscheiden. Hierauf hielt die IV-Stelle mit Verfügung vom 6.5.2003 fest, der Invaliditätsgrad betrage 61%. Der Kläger habe weiterhin An- spruch auf eine halbe Rente der IV (klägerische Urkunde 8).</w:t>
      </w:r>
    </w:p>
    <w:p>
      <w:r>
        <w:rPr>
          <w:b/>
        </w:rPr>
        <w:t>E. 5</w:t>
      </w:r>
    </w:p>
    <w:p>
      <w:r>
        <w:t>Das Gesuch um Gewährung der unentgeltlichen Rechtspflege, das zusammen mit dem Vorladungsbegehren vom 29.6.2001 gestellt worden war, wurde am 24.11.2003 abgewiesen. Mit Klage vom 1.12.2003 verlangte der Kläger, nunmehr vertreten durch Rechtsanwalt Remy Wyssmann, die Beklagte sei zu verpflichten, dem Kläger spätestens ab dem 5.8.1999 ein Taggeld von mindestens Fr. 69.50 für die Dauer von mindestens 690 Tagen, total Fr. 26'868.-- zuzüglich einen Verzugs- zins von mindestens 5% ab mittlerem Verfall-tag, also spätestens ab 15.7.2000 zu bezahlen. Auf die Begründung wird nachfolgend, soweit notwendig, eingegan- gen.</w:t>
      </w:r>
    </w:p>
    <w:p>
      <w:r>
        <w:rPr>
          <w:b/>
        </w:rPr>
        <w:t>E. 6</w:t>
      </w:r>
    </w:p>
    <w:p>
      <w:r>
        <w:t>Mit Klageantwort vom 9.12.2003 beantragte die Beklagte die kostenfällige Ab- weisung der Klage. Am 17.6.2004 wies das Amtsgericht Solothurn-Lebern die Klage ab, schlug die Parteikosten wett und übertrug die Gerichtskosten mit einer Gerichtsgebühr von Fr. 2'000.--, total Fr. 3'010.--, dem Kläger.</w:t>
      </w:r>
    </w:p>
    <w:p>
      <w:r>
        <w:t>4</w:t>
      </w:r>
    </w:p>
    <w:p>
      <w:r>
        <w:rPr>
          <w:b/>
        </w:rPr>
        <w:t>E. 7</w:t>
      </w:r>
    </w:p>
    <w:p>
      <w:r>
        <w:t>Am 29.6.2004 erhob der Kläger das Rechtsmittel der Appellation gegen das ge- samte Urteil und beantragte die volle unentgeltliche Rechtspflege und Rechtsver- beiständung unter gleichzeitiger Einsetzung des unterzeichneten Rechtsanwaltes als unentgeltlichen Rechtsbeistand für das Appellationsverfahren. Auf die Aufer- legung eines Gerichtskostenvorschusses sei zu verzichten. B. Mit Verfügung vom 12.8.2004 wurde beiden Parteien Frist zur Einreichung neuer Behauptungen und Beweismittel angesetzt und dem Kläger wurde Frist für die Einreichung des Gesuches zur Erlangung der unentgeltlichen Rechtspflege ange- setzt. Die Beklagte liess sich nicht vernehmen. Der Kläger hielt fest, dass der Aus- stand der Vorinstanz von Fr. 3'010.-- per 31.8.2004 beglichen worden sei und ver- langte für die Einreichung neuer Behauptungen und Beweismittel sowie für die Einreichung des Gesuches zur Erlangung der unentgeltlichen Rechtspflege Frister- streckung.</w:t>
      </w:r>
    </w:p>
    <w:p>
      <w:r>
        <w:rPr>
          <w:b/>
        </w:rPr>
        <w:t>E. 9</w:t>
      </w:r>
    </w:p>
    <w:p>
      <w:r>
        <w:t>Auch das dispositive Recht führt zu keinem anderen Ergebnis. Das VVG enthält keine dispositive Gesetzesbestimmung, welche die Ueberentschädigung in Tag- geldversicherungen regelt. Die relativ zwingende Bestimmung von Art 96 VVG weist in die andere Richtung. Danach können die Leistungen der Personenversi- cherung zu den übrigen Leistungen der Sozialversicherer kumuliert werden. Diese Bestimmung ist allerdings in der Rechtsprechung relativiert worden (BGE 104 Il 44).</w:t>
      </w:r>
    </w:p>
    <w:p>
      <w:r>
        <w:rPr>
          <w:b/>
        </w:rPr>
        <w:t>E. 10</w:t>
      </w:r>
    </w:p>
    <w:p>
      <w:r>
        <w:t>690 x 139.-- von Fr. 95'910.-- sind dem Kläger die noch fehlenden Fr. 26'868.80 zuzusprechen. 6. Der Kläger fordert einen Verzugszins zu 5% ab mittlerem Verfall, spätestens ab 15.7.2000. Die Beklagte hat dagegen lediglich eingewendet, es sei mangels Hauptforderung auch kein Verzugszins geschuldet. Dieser Einwand ist dahinge- fallen, da der Anspruch gutzuheissen ist. Weitere Einwände hat die Beklagte nicht vorgebracht. Demnach ist dem Kläger ein Verzugszins ab mittlerem Verfall, dem 15.7.2000, zuzusprechen. IV. 1. Bei diesem Ausgang des Verfahrens auferliegen die Kasten beider Instanzen auf der Beklagten. Die Urteilsgebühr für das obergerichtliche Verfahren wird auf Fr. 3'000.-- festgesetzt, womit sich dessen Kosten auf total Fr. 3190.-- belaufen. 2. Die Beklagte hat dem Klä ger zudem eine Parteientschädigung zu bezahlen. Diese wird für das erstinstanzliche Verfahren auf Fr. 7'000.-- und für dasjenige vor Ober- gericht auf Fr. 3'797.85 (inkl. MWSt und Auslagen) bemessen. Da dem Kläger für das obergerichtliche Verfahren die unentgeltliche Rechtspflege gewährt wurde, ist . die Parteientschädigung dem Anwalt des Klägers zusprechen. Der Staat haftet hiefür während zweier Jahre als Garant. § 114 ZPO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