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20041124_i_ti_o_01 vom 24. November 2004</w:t>
      </w:r>
    </w:p>
    <w:p>
      <w:r>
        <w:t>FINMA Versicherungsrecht, 2004-11-24, IT</w:t>
      </w:r>
    </w:p>
    <w:p>
      <w:r>
        <w:rPr>
          <w:b/>
        </w:rPr>
        <w:t xml:space="preserve">Quelle: </w:t>
      </w:r>
      <w:r>
        <w:t>https://mcp.opencaselaw.ch/entscheid/finma_versicherungsrecht_20041124_i_ti_o_01</w:t>
      </w:r>
    </w:p>
    <w:p>
      <w:r>
        <w:t>FR: FINMA_VERSICHERUNGSRECHT 20041124_i_ti_o_01 du 24 novembre 2004</w:t>
      </w:r>
    </w:p>
    <w:p>
      <w:r>
        <w:t>IT: FINMA_VERSICHERUNGSRECHT 20041124_i_ti_o_01 del 24 novembre 2004</w:t>
      </w:r>
    </w:p>
    <w:p>
      <w:pPr>
        <w:pStyle w:val="Heading2"/>
      </w:pPr>
      <w:r>
        <w:t>Erwägungen</w:t>
      </w:r>
    </w:p>
    <w:p>
      <w:r>
        <w:rPr>
          <w:b/>
        </w:rPr>
        <w:t>E. 24</w:t>
      </w:r>
    </w:p>
    <w:p>
      <w:r>
        <w:t>novembre 2004 6 6. Nel concreto caso la Y Assicurazioni SA, per ragioni che qui non occorre accertare, ha deciso di aderire pienamente e senza condizione alle pretese della signora XXX offrendosi di pagare l'importo richiesto per la citata ginnastica, quindi, conformemente all'art. 352 cpv. 2 CPC, la causa va stralciata dai ruoli per acquiescenza della convenuta. Non si percepiscono spese e tassa di giustizia. La procedura davanti al TCA è, infatti, di regola gratuita (cfr. a rt. 20 cpv. 1 LPTCA). Nel caso di specie non sono chieste ripetibili che comunque non sarebbero state concesse alla luce del contenuto impegno derivante dalla procedura ed a fonte di spese comunque estremamente contenute. 7. L'art. 47 cpv. 4 LSA impone ai Tribunali Svizzeri di trasmettere gratuitamente all'autorità di sorveglianza sulle assicurazioni private (UFAP, Berna) una copia di tutte le sentenze civili concernenti disposizioni del diritto in materia di contratto d'assicurazione. Con lettera del 14 agosto 2003 I'UFAP ha rammentato al TCA detto obbligo precisando che l'ufficio federale delle assicurazioni private non ha la facoltà di ricorrere contro le stesse. Alla luce della LSA e dello scritto dell'UFAP, s'impone la notifica anche della presente sentenza all'autorità di sorveglianza.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