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20030517_i_ti_o_01 vom 17. Mai 2003</w:t>
      </w:r>
    </w:p>
    <w:p>
      <w:r>
        <w:t>FINMA Versicherungsrecht, 2003-05-17, IT</w:t>
      </w:r>
    </w:p>
    <w:p>
      <w:r>
        <w:rPr>
          <w:b/>
        </w:rPr>
        <w:t xml:space="preserve">Quelle: </w:t>
      </w:r>
      <w:r>
        <w:t>https://mcp.opencaselaw.ch/entscheid/finma_versicherungsrecht_20030517_i_ti_o_01</w:t>
      </w:r>
    </w:p>
    <w:p>
      <w:r>
        <w:t>FR: FINMA_VERSICHERUNGSRECHT 20030517_i_ti_o_01 du 17 mai 2003</w:t>
      </w:r>
    </w:p>
    <w:p>
      <w:r>
        <w:t>IT: FINMA_VERSICHERUNGSRECHT 20030517_i_ti_o_01 del 17 maggio 2003</w:t>
      </w:r>
    </w:p>
    <w:p>
      <w:pPr>
        <w:pStyle w:val="Heading2"/>
      </w:pPr>
      <w:r>
        <w:t>Erwägungen</w:t>
      </w:r>
    </w:p>
    <w:p>
      <w:r>
        <w:rPr>
          <w:b/>
        </w:rPr>
        <w:t>E. 17</w:t>
      </w:r>
    </w:p>
    <w:p>
      <w:r>
        <w:t>maggio 2004 esula dall'ambito delle assicurazioni, in particolare dal ramo malattia. XXX potrà, semmai, rivolgersi alla competente autorità giudiziaria civile per le sue rivendicazioni. 2.11. Si osserva ancora che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 2.12.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 rt. 44 OG). Rispettivamente è ammissibile il ricorso per riforma in procedure pecuniarie in specifici ambiti del diritto senza riguardo al valore pecuniario (a rt. 45 OG). L'art. 46 OG precisa che "Nelle cause civili per altri diritti di carattere pecuniario, ii ricorso per riforma è ammissibile solo quando, secondo le conclusioni delle pa rti, il valore litigioso davanti all'ultima giurisdizione cantonale raggiungeva ancora 8'000 franchi almeno.". Nel caso di specie, il valore litigioso è rappresentato dalla fattura della dr. med. dent. XXX ammontante a Fr. 2'157,35. Siccome tale importo è inferiore a Fr. 8'000.-, non sono pertanto dati gli estremi per un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