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20030217_i_ti_o_00 vom 17. Februar 2003</w:t>
      </w:r>
    </w:p>
    <w:p>
      <w:r>
        <w:t>FINMA Versicherungsrecht, 2003-02-17, IT</w:t>
      </w:r>
    </w:p>
    <w:p>
      <w:r>
        <w:rPr>
          <w:b/>
        </w:rPr>
        <w:t xml:space="preserve">Quelle: </w:t>
      </w:r>
      <w:r>
        <w:t>https://mcp.opencaselaw.ch/entscheid/finma_versicherungsrecht_20030217_i_ti_o_00</w:t>
      </w:r>
    </w:p>
    <w:p>
      <w:r>
        <w:t>FR: FINMA_VERSICHERUNGSRECHT 20030217_i_ti_o_00 du 17 février 2003</w:t>
      </w:r>
    </w:p>
    <w:p>
      <w:r>
        <w:t>IT: FINMA_VERSICHERUNGSRECHT 20030217_i_ti_o_00 del 17 febbraio 2003</w:t>
      </w:r>
    </w:p>
    <w:p>
      <w:pPr>
        <w:pStyle w:val="Heading2"/>
      </w:pPr>
      <w:r>
        <w:t>Erwägungen</w:t>
      </w:r>
    </w:p>
    <w:p>
      <w:r>
        <w:rPr>
          <w:b/>
        </w:rPr>
        <w:t>E. 17</w:t>
      </w:r>
    </w:p>
    <w:p>
      <w:r>
        <w:t>febbraio 2003 Di regola, le ripetibili sono assegnate al ricorrente vincente in causa e rappresentato da un'organizzazione sindacale (DTF 122 V 278; STFA non pubblicata dell'8 luglio 1997 nella causa D., i 73/96 e STFA non pubblicata del 13 gennaio 2000 nella causa K.K., U 284/99 circa il diritto a ripetibili della persona cognita in materia) anche in assenza di una esplicita richiesta (DTF 118 V 139). AI proposito, il Tribunale Federale delle Assicurazioni, nella sentenza pubblicata in DTF 126 V 11, ha avuto occasione di ricordare che: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della procedura la Cassa verserà all'assicurato, rappresentato dall'O.,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