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20020417_i_ch_b_01 vom 17. April 2002</w:t>
      </w:r>
    </w:p>
    <w:p>
      <w:r>
        <w:t>FINMA Versicherungsrecht, 2002-04-17, IT</w:t>
      </w:r>
    </w:p>
    <w:p>
      <w:r>
        <w:rPr>
          <w:b/>
        </w:rPr>
        <w:t xml:space="preserve">Quelle: </w:t>
      </w:r>
      <w:r>
        <w:t>https://mcp.opencaselaw.ch/entscheid/finma_versicherungsrecht_20020417_i_ch_b_01</w:t>
      </w:r>
    </w:p>
    <w:p>
      <w:r>
        <w:t>FR: FINMA_VERSICHERUNGSRECHT 20020417_i_ch_b_01 du 17 avril 2002</w:t>
      </w:r>
    </w:p>
    <w:p>
      <w:r>
        <w:t>IT: FINMA_VERSICHERUNGSRECHT 20020417_i_ch_b_01 del 17 aprile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Preliminarmente la ricorrente chiede che il ricorso per riforma venga trattato prima del parallelo ricorso di diritto pubblico, in deroga alla regola di cui all'art. 57 cpv. 5 OG. In principio il Tribunale federale soprassiede alla decisione sul ricorso per riforma sino al giudizio in meri- to al ricorso di diritto pubblico (DTF 122 181 consid. 1; Messmer/Imboden, Die eidgenössischen Rechtsmittel in Zivil- sachen, Zurigo 1992, pag. 148 nota 12). Per consolidata giurisprudenza ë però possibile derogare a questa regola quando il ricorso per riforma appare d'acchito inammissi- bile (Poudret/Sandoz-Monod, Commentaire de la loi fédérale d'organisation judiciare, vol. II, n. 5 ad art. 57 OG) oppure quando sembra che possa essere accolto pur basandosi sulle constatazioni di fatto ritenute dalla Corte cantonale e criticate nel ricorso di diritto pubblico (DTF 117 II 630 consid. la; 114 II 240 consid. lb). Nella fattispecie il ricorso per riforma s'avvera, previo un breve esame, inam- missibile per le motivazioni esposte ai considerandi se- guenti, ragione per cui si giustifica di esaminarlo per primo in deroga a quanto previsto all'art. 57 cpv. 5 OG.</w:t>
      </w:r>
    </w:p>
    <w:p>
      <w:r>
        <w:rPr>
          <w:b/>
        </w:rPr>
        <w:t>E. 2</w:t>
      </w:r>
    </w:p>
    <w:p>
      <w:r>
        <w:t>Il Tribunale federale si pronuncia d'ufficio e con pieno potere d'esame sull'ammissibilità del rimedio esperito (DTF 127 III 41 consid. 2a).</w:t>
      </w:r>
    </w:p>
    <w:p>
      <w:r>
        <w:t>- 5 - a) Contro la sentenza cantonale, l'attrice ha in- trodotto un ricorso per riforma e un ricorso di diritto pubblico con argomentazioni praticamente identiche. Ora, due gravami formalmente distinti, ma di contenuto pressoché uguale, sono sottoposti alle medesime condizioni - per quanto attiene alla loro ammissibilità - di un unico atto di ricorso che comprende due rimedi giuridici. A questo ri- guardo il Tribunale federale ha già avuto modo di spiegare come chi fornisce una motivazione sostanzialmente identica a due rimedi si espone alla censura di abuso nella presen- tazione degli stessi (DTF 116 II 92)', con il rischio che nessuno di essi venga esaminato. Preso atto delle critiche suscitate da , questa giurisprudenza, il Tribunale federale ha successivamente precisato che l'inammissibilità dei ri- corsi non va ascritta tanto al loro contenuto - identico - quanto all'impossibilità di determinare con chiarezza le argomentazioni presentate nei diversi allegati. Se, dunque, nonostante la commistione delle censure sollevate, la moti- vazione appare sufficientemente chiara e adempie i requi- siti legali, i ricorsi possono essere vagliati (DTF 116 II 746 consid. 2a). In concreto, come detto, la ricorrente fonda le due impugnative sui medesimi argomenti, limitandosi a invocare la violazione di diversi principi e norme di diritto. Stan- do a quanto sopra, questa circostanza non basta, da sola, per dichiararle entrambe inammissibili. Ciò non toglie, co- munque, che - come esposto di seguito - il ricorso per ri- forma deve essere' dichiarato inammissibile ai sensi dell' art. 43 cpv. i OG. b) Secondo gli art. 8 CC e 39 LCA, la prova del sinistro spetta in principio all'assicurato. Nei casi come quello in esame, in cui la prova assoluta del sinistro é impossibile (a meno di sorprendere l'autore del furto in</w:t>
      </w:r>
    </w:p>
    <w:p>
      <w:r>
        <w:t>- 6 - flagranza di reato), giurisprudenza e dottrina. considerano sufficiente una prova indiziaria: non basta tuttavia che l'assicurato adduca la semplice verosimiglianza dell'ipote- si di furto (vale a dire con il 51% di probabilità); egli deve invece provare la realizzazione dell'evento con un grado di probabilità elevato, in base all'andamento genera- le delle cose e alla comune esperienza della vita (cfr. sentenza del Tribunale federale 5C.86/1996 del 5 dicembre 1996, consid. 3b; JdT 1997 I 811). Peraltro, di fronte a una prova che non è assoluta, l'assicuratore ha il diritto di fornire e dimostrare circostanze di fatto atte a porre seriamente in dubbio la correttezza e l'esattezza dei fatti così presunti (diritto alla controprova: DTF 115 II 305; 120 II 393 consid. 4b; Kummer, Commentario bernese, n. 362 segg., in particolare n. 366 all'art. 8 CC; H. Gauqier, Der prima-facie-Beweis im privaten Personenversicherungsrecht, RSA 26, pag. 306 segg., 309). L'onere probatorio dell'assi- curato è rafforzato e deve avvicinarsi tanto più alla prova certa quanto più le circostanze del furto appaiono contrad- dittorie, rispettivamente quando l'assicurazione ha appor- tato elementi contrari (Olivier Carré, Loi fédérale sur le contrat d'assurance, Losanna 2000, art. 39 LCA, pag. 286; JdT 1997 I 812); in particolare, il verificarsi del furto e l'esistenza del danno non sono provati con un sufficiente grado di verosimiglianza quando l'ipotesi di una simulazio- ne appare altrettanto plausibile di quella di un furto reale (RUA vol. XVIII, n. 15). Nel caso concreto, la Corte cantonale ha corretta- mente applicato i principi appena esposti; essa ha procedu- to alla disamina dei fatti partendo dal giusto concetto di grado di certezza richiesto da giurisprudenza e dottrina, giungendo alla conclusione che questo non è stato raggiun- to, dato che l'ipotesi di una simulazione rimane - se non maggiormente - almeno tanto plausibile quanto quella di un furto reale. Su questo punto (peraltro il solo che sarebbe</w:t>
      </w:r>
    </w:p>
    <w:p>
      <w:r>
        <w:rPr>
          <w:b/>
        </w:rPr>
        <w:t>E. 7</w:t>
      </w:r>
    </w:p>
    <w:p>
      <w:r>
        <w:t>esaminabile nell'ambito del ricorso per riforma), alle au- torità cantonali non può quindi essere mossa nessuna criti- ca. Le censure della ricorrente si esauriscono d'altronde nella discussione dell'apprezzamento probatorio, ossia su questioni di fatto inammissibili nella giurisdizione per. riforma. 3.- L'attrice sostiene invero che l'accertamento di una o dell'altra tesi (furto o simulazione) ë una que- stione di diritto, legata alla facoltà di apprezzamento del giudice, per cui sarebbe proponibile nella fattispecie il ricorso per riforma. Tale opinione è confortata da parte della dottrina; secondo Poudret/Sandoz--Monod (op. cit., vol. II, 1990, pag. 173 seg.), sapere se nel concreto caso il grado di probabilità richiesto dal diritto federale è raggiunto costituisce questione di diritto sindacabile nel- la procedura per riforma. Tale opinione, condivisa anche da Kummer (Commentario bernese, n. 72 seg. ad art. 8 CC) rima- ne nondimeno minoritaria. Per la maggior parte degli auto- ri, invece, la giurisdizione per riforma pub solo verifica- re se il giudice cantonale ë dipartito da un concetto cor- retto del grado di certezza o verosimiglianza richiesto (Messmer/Imboden, op. cit., pag. 144; Dressler, Die Tatsa- chenüberprüfung durch das Bundesgericht im Berufungsverfeh- ren, in: RDS 94/1975 II 64; Wurzburger, La violation du droit fédéral dans un recours en réforme, in: RDS 94/1975 II 104; Birchmeier, Handbuch des Bundesgesetzes über die Organisation der Bundesrechtspflege, pag. 99; Voyame, Droit privé fédéral et procedure civile cantonale, in: RDS 80/1961 II 157 seg.).. Il Tribunale federale, in diversi recenti giudizi non pubblicati (sentenze 5C.162/2001 del 21 agosto 2001; 5C.83/2000 del 31 maggio 2001; 5C.181/1997 deli'8 settembre 1997; cfr. anche DTF 120 II 393 consid. 4b) ha seguito quest'ultima opinione. Di conseguenza, sape- re se i fatti addotti e acquisiti siano sufficienti per ri- tenere realizzato l'evento assicurativo costituisce apprez-</w:t>
      </w:r>
    </w:p>
    <w:p>
      <w:r>
        <w:t>- 8 - zamento delle prove, e quindi questione di fatto insindaca- bile in un ricorso per riforma e che pub essere rivista sotto il limitato profilo dell'arbitrio solo nell'ambito di un ricorso di diritto pubblico (art. 43 cpv. 1 seconda fra- se OG; DTF 127 III 73 consid. 6a; 120 II 97 consid. 2b e rif.). Nel caso concreto, l'apprezzamento dei fatti opera- to dai giudici cantonali per concludere che la credibilità del furto appare non più probabile dell'ipotesi di simula- zione, siccome attinente all'apprezzamento delle prove, va pertanto censurato con un ricorso di diritto pubblico e non nelle vie della giurisdizione per riforma. 4.- Da quanto sopra discende che il ricorso per riforma s'avvera irricevibile. Gli oneri processuali e le ripetibili seguono la soccombenza (art. 156 cpv. 1 OG); alla convenuta, che non ha presentato una risposta, non sono invece attribuite ripetibili.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