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20020204_d_ch_b_01 vom 4. Februar 2002</w:t>
      </w:r>
    </w:p>
    <w:p>
      <w:r>
        <w:t>FINMA Versicherungsrecht, 2002-02-04, DE</w:t>
      </w:r>
    </w:p>
    <w:p>
      <w:r>
        <w:rPr>
          <w:b/>
        </w:rPr>
        <w:t xml:space="preserve">Quelle: </w:t>
      </w:r>
      <w:r>
        <w:t>https://mcp.opencaselaw.ch/entscheid/finma_versicherungsrecht_20020204_d_ch_b_01</w:t>
      </w:r>
    </w:p>
    <w:p>
      <w:r>
        <w:t>FR: FINMA_VERSICHERUNGSRECHT 20020204_d_ch_b_01 du 4 février 2002</w:t>
      </w:r>
    </w:p>
    <w:p>
      <w:r>
        <w:t>IT: FINMA_VERSICHERUNGSRECHT 20020204_d_ch_b_01 del 4 febbraio 2002</w:t>
      </w:r>
    </w:p>
    <w:p>
      <w:pPr>
        <w:pStyle w:val="Heading2"/>
      </w:pPr>
      <w:r>
        <w:t>Erwägungen</w:t>
      </w:r>
    </w:p>
    <w:p>
      <w:r>
        <w:rPr>
          <w:b/>
        </w:rPr>
        <w:t>E. 2</w:t>
      </w:r>
    </w:p>
    <w:p>
      <w:r>
        <w:t>Die Beklagte bestreitet die Aktivlegitirnation der Klägerin unter Hinweis auf ein Abtretungsverbot in Art. 27 AVB/VVG (Ausgabe 1.1.97), wonach Forderungen gegenüber dem Versicherer vom Versicherten oder vom Versicherungsnehmer weder abgetreten noch verpfändet werden dürfen; die Klägerin habe ihre Forderung auf eine Abtretungserklärung gestützt, was allseits und auch vom Versicherungsgericht übersehen worden sei, das die Aktivlegitimationvon Amtes wegen hätte prüfen müssen. Die Klägerin hält den Einwand fehlender Aktiv- legitimation für neu und unzulässig wie auch für unbegründet. Nach Art. 55 Abs. 1 lit. c OG sind das Vorbringen neuer Tatsachen, neue Einreden, Bestreitungen und Beweismit- tel unzulässig (Satz 3). Dieses Novenverbot schliesst indes- sen eine neue rechtliche Argumentation nicht aus, sofern sie auf Grund der verbindlichen Tatsachenfeststellungen beurteilt werden kann (zuletzt: BGE 125 III 305 E. 2e S. 312; 123 III 129 E. 3b/aa S. 133) und nicht auf einer Ausweitung des vor- instanzlich festgestellten Sachverhalts beruht (zuletzt: BGE. 116 II 695 E. 4 S. 699); das gilt auch für die Aktiv- und Passivlegitimation,welche von Amtes wegen zu prüfen ist und deshalb auch erstmals vor Bundesgericht bestritten werden kann (BGE 108 II 216 E. 1 S. 217) . Das Versicherungsgericht ist davon ausgegangen, dass die Ergänzenden Versicherungsbedingungen der Klägerin zugekommen und deshalb auch zu beachten seien; demgegenüber bestreite die Klägerin, die AVB/VVG erhalten zu haben, und</w:t>
      </w:r>
    </w:p>
    <w:p>
      <w:r>
        <w:t>- 5 - die Beklagte habe die Zustellung auch nicht beweisen können (E. 3b S. 7). Dieses Beweisergebnis ist für das Bundesgericht verbindlich (BGE 126 III 189 E. 2a S. 191), und die Beklagte legt auch nicht dar, welche Bundesrechtssätze und inwiefern sie dadurch verletzt sind, dass das Versicherungsgericht die AVB/VVG in der Ausgabe vom 1.1.1997 nicht zur massgebenden Vertragsgrundlage gezählt und darauf nicht abgestellt hat (Art. 55 Abs. 1 lit. c OG; BGE 116 II 745 E. 3 S. 748 f.) . Über Bestand und Inhalt der behaupteten Forderungsabtretung sowie über eine allfällige Lohnfortzahlungcpflicht der Kläge- rin fehlen jegliche Feststellungen tatsächlicher Natur im versicherungsgerichtlichen Urteil, und die Beklagte erhebt und begründet diesbezüglich keine ausnahmsweise zulässigen Sachverhaltsrügen (Art. 55 Abs. 1 lit. d i.V.m. Art. 63 f. OG; BGE 115 Il 484 E. 2a S. 485; 119 II 353 E. 5c/aa S. 357). Auf der Grundlage des verbindlich festgestellten Sachverhalts lässt sich die Frage der Aktivlegitimation nicht beurteilen. Der Einwand der Beklagten ist deshalb unzulässig.</w:t>
      </w:r>
    </w:p>
    <w:p>
      <w:r>
        <w:rPr>
          <w:b/>
        </w:rPr>
        <w:t>E. 3</w:t>
      </w:r>
    </w:p>
    <w:p>
      <w:r>
        <w:t>Die Beklagte wendet sich gegen die Auslegung von Art. il der Ergänzenden Versicherungsbedingungen und wirft dem Versicherungsgericht eine primäre statt subsidiäre und damit vorschnelle Anwendung der Unklarheitsregel vor. Ferner beruft sie sich auf Art. 3 Ziffer 2 Abs. 3 AVB/VVG (Ausgabe 1.1.97), wonach die Versicherten durch die Versicherung X. oder den Kollektivversicherungsnehmer auf das Übertrittsrecht aufmerksam gemacht werden. Die Klägerin halt auch diese Rüge für neu und damit unzulässig, im Übrigen aber - soweit beurteilbar - für materiell unbegründet. a) Vorformulierte Vertragsbestimmungen sind grund- sätzlich nach den gleichen Regeln wie individuell verfasste Vertragsklauseln auszulegen. So erfolgt denn auch bei den allgemeinen Versicherungsbedingungen die Ermittlung des mut- masslichen Parteiwillens nach dem Vertsauensgrundsatz. Dabei</w:t>
      </w:r>
    </w:p>
    <w:p>
      <w:r>
        <w:t>hat der Richter vom Wortlaut auszugehen und zu berücksichti- gen, was sachgerecht erscheint. Er orientiert sich am dispo- sitiven Recht, weil derjenige Vertragspartner, der dieses verdrängen will, das mit hinreichender Deutlichkeit zum Aus- druck bringen muss. Schliesslich und subsidiär müssen mehr- deutige Klauseln nach der Unklarheitsregel gegen den Ver- sicherer als deren Verfasser ausgelegt werden (zuletzt: BGE 122 III b) Das Versicherungsgericht hat die gezeigten Grund- sätze bei der Auslegung von Art. 11 der Ergänzenden Versiche- 'rungsbedingungen angewendet, indem es vom klaren und unmiss- verständlichen Vertragswortlaut ausgegangen ist, wonach der Versicherer die versicherte Person über ihr Übertrittsrecht in die Einzelversicherung aufzuklären hat. Der einschlägige Art. 11 Abs. 2 belässt denn auch keinen Zweifel daran, wen die strittige Aufklärungspflicht trifft: "Der Versicherer klärt ... auf." Das Versicherungsgericht hat deshalb zu Recht festgehalten, dass sich im vorliegenden Fall auf Grund des Wortlauts keine mehrdeutige Auslegung ergebe. Sein Hinweis auf die Unklarheitsregel betrifft eine (unnötige) Eventual- begründung (E. 3c S. 7: "Selbst wenn ___") und bedeutet kein unzulässiges Abstellen auf die Unklarheitsregel, die ent- fällt, wenn die Auslegung zu einem klaren Ergebnis führt (2.B. BGE 126 V 499 E. 3b S. 504). c) Die Auslegung erscheint auch als sachgerecht. Bei der privaten Taggeldversicherung besteht - im Gegensatz zur sozialversicherungsrechtlichen (Art. 71 Abs. 2 KVG) - keine gesetzliche Pflicht des Versicherers, die versicherten Perso- nen über ihr Recht auf Übertritt in die Einzelversicherung zu informieren. Das Bundesgericht hat es abgelehnt, in dieser Frage sozialversicherungsrechtliche Grundsätze auf die Pri- vatversicherung zu übertragen; die Lösung des Problems muss dem Gesetzgeber vorbehalten bleiben (nicht veröffentlichtes Urteil des Bundesgerichts vom 3. Juli 2001 i.S. K., E. 2, 118 E. 2a S. 121; 126 III 388 E. 9d S. 391) .</w:t>
      </w:r>
    </w:p>
    <w:p>
      <w:r>
        <w:t>- 7 - 5C.41/2001). In der Lehre wird denn auch "de lege ferenda" befürwortet, in der nach W G angebotenen Kollektiv-Kranken- taggeldversicherung sollten analog den entsprechenden Normen in der Sozialversicherung Vorschriften erlassen werden, die den Versicherten den Übertritt in die Einzelversicherung zu angemessenen Bedingungen garantieren, wenn sie aus der Kol- lektivversicherung ausscheiden (vgl. etwa Stein, in: Kommen- tar zum Bundesgesetz über den Versicherungsvertrag (WG) , Basel 2001, N. 33 f. zu Art. 87 VVG). In Bezug auf die Auf- klärungspflicht erfüllt die Beklagte dieses Postulat - somit sachgerecht - bereits auf freiwilliger Basis. Dass die In- formation der Versicherten bei einer anonymen Kollektivver- sicherung Schwierigkeiten bereiten kann, ändert nichts an der vertraglich übernommenen Verpflichtung dazu. Zur Erfüllung der Aufklärungspflicht kann die Beklagte zwar die - nach Treu und Glauben auch zu leistende - Mitwirkung der Klägerin ver- langen, hat aber für deren allfällige Versäumnisse einzuste- hen (zur gesetzlichen Pflicht: BGE 103 V 71 E. 4a S. 73). Dergleichen hat die Beklagte indessen nicht vorgekehrt und sich darauf beschränkt, gegenüber der Klägerin auf das Über- trittsrecht hinzuweisen; damit ist sie nach den zutreffenden Ausführungen des Versicherungsgerichtc ihrer Aufklärungs- pflicht nicht nachgekommen (E. 3d S. 7 f.). d) Schliesslich beruft sich die Beklagte auf Art. 3 Ziffer 2 Abs. 3 AVB/VVG (Ausgabe 1.1.97), wonach die Aufklä- rungspflicht nebst dem Versicherer auch den Kollektivversi- cherungsnehmer trifft. Selbst wenn die AVB/WG zur massge- benden Vertragsgrundlage zählen würden (E. 2 hiervor), wäre der Einwand von vornherein unbegründet. Das Verhältnis der Rechtsgrundlagen ist klar: Die AVB/WG "gelten für alle nach Versicherungsvertragsgesetz geführten Versicherungen" und "Einzelheiten über die verschiedenen Leistungen der Zusatz- versicherung sawie Abweichungen von den gemeinsamen Bestim- mungen finden sich in den ergänzenden Bedingungen der betref- fenden Versicherungen" (Einleitung). Damit übereinstimmend</w:t>
      </w:r>
    </w:p>
    <w:p>
      <w:r>
        <w:t>- 8 - regeln die Ergänzenden Versicherungsbedingungen nur die Tag- geldversicherung und behalten die AVB /WG auch nur vor für alle " in diesen ergänzenden Bedingungen nicht besonders ge- regelten Fragen" (Art. 16). Die besondere, ausschliesslich dem Versicherer obliegende Aufklarungspflicht in der Taggeld- versicherung gemäss den Ergänzenden Versicherungsbedingungen (Art. 11 Abs. 2) verdrängt insoweit die allgemeine Aufklä- rungspflicht für alle nach W G geführten Versicherungen ge- mäss Art. 3 Ziffer 2 Abs. 3 AVB/VVG. Sie geht nach unum- strittenem Rechtsgrundsatz als speziellere Regel der allge- meineren vor (vgl. etwa Viret, Droit des assurances privées, 3.A. Zürich 1991, S. 21) . e) Aus den dargelegten Gründen kann die Auslegung von Art. 11 der Ergänzenden Bedingungen durch das Versiche- rungsgericht nicht beanstandet werden. Die Berufung muss in diesem Punkt abgewiesen werden. Inwiefern für die Gutheissung der Klage eine Unklarheit betreffend die Leistungsausschlüsse gemäss Art. 22 lit. b AVB/VVG (Ausgabe 1.1.97) gewesen sein soll, lässt sich dem versicherungsgerichtlichen Urteil nicht entnehmen; was ein Richter an der mündlichen Verhandlung dazu gesagt haben mag, ist unmassgeblich, solange sich sein Votum nicht in den Urteilsgründen niedergeschlagen hat (vgl. dazu Art. 51 Abs. 1 lit. b und c OG). Da insoweit nichts zu Un- gunsten der Beklagten aus Art. 22 lit. b i.V.m. Art. 9 AVE/ W G abgeleitet wird, braucht auf ihre Ausführungen dazu ohne- hin nicht eingegangen zu werden (vgl. im Übrigen E. 2 hier- vor) .</w:t>
      </w:r>
    </w:p>
    <w:p>
      <w:r>
        <w:rPr>
          <w:b/>
        </w:rPr>
        <w:t>E. 4</w:t>
      </w:r>
    </w:p>
    <w:p>
      <w:r>
        <w:t>Vom eingeklagten Betrag hat das Versicherungsgericht die Prämienreduktion berücksichtigt, d.h. die Prämien zum Abzug zugelassen, die für den Fall eines Übertritts in die Einzelversicherung geschuldet gewesen wären. Das Versiche- rungsgericht hat dazu ausgeführt, dass die Berücksichtigung der Prämienreduktion in der massgebl3chen Zeitspanne grund-</w:t>
      </w:r>
    </w:p>
    <w:p>
      <w:r>
        <w:rPr>
          <w:b/>
        </w:rPr>
        <w:t>E. 9</w:t>
      </w:r>
    </w:p>
    <w:p>
      <w:r>
        <w:t>satzlich wie masslich von den Parteien nicht bestritten sei. Allerdings habe sich keine Partei dazu schriftlich und im Detail geäussert, und auch an des Parteiverhandlung sei von ihnen dieses Detail nicht erörtert worden, obwohl die Sub- stantiierung auch dieses Betrags nach zivilprozessualen Grundsätzen in der Verantwortung der Parteien liege. Aus diesem Grunde und im Sinne einer Pauschalisierung ist das Versicherungsgericht davon ausgegangen, dass die Prämienre- duktion mit Fr. 250.-- zu veranschlagen sei, welcher Betrag von der geltend gemachten Summe abzuziehen sei (E. 4 S. 8 f.). Art. 47 nos. 2 des Bundesgesetzes vom 23. Juni 1978 betreffend die Aufsicht über die privaten Versicherungsein- richtungen (SR 961.01; Versicherungsaufsichtsgesetz; VAG) schreibt den Kantonen für Streitigkeiten aus Zusatzversi- cherungen zur sozialen Krankenversicherung nach W G ein ein- faches und rasches Verfahren vor, in dem der Richter den Sachverhalt von Amtes wegen feststellt und die Beweise nach freiem Ermessen würdigt. Unter Verweis auf diese Bestimmung macht die Beklagte geltend, die versicherungsgerichtliche Pauschalisierung sei unzulässig und die Höhe der abzugsbe- rechtigten Einzelversicherungsprämie hätte zum abklärungs- pflichtigen Sachverhalt gehört. Richtig ist an diesem Ein- wand, dass sich die Substantiierungspflicht der Parteien nicht "nach zivilprozessualen Grundsätzen" (E. 4 S. 8) beur- teilt, sondern nach den in Art. 47 VAG garantierten und auch von den Versicherungsgerichten zu beachtenden minimalen Ver- fahrensgrundsätzen (BGE 125 III 461 E. 2 S, 464). Bei der in Art. 47 Abs. 2 VAG im Zusammenhang mit dem Erlass des KVG eingefügten Verfahrenserleichterung liess sich der Gesetzgeber von den sozialpolitisch motivierten bun- desrechtlichen Bestimmungen im Bereich von Miete (Art. 274d OR), Pacht (Art. 301 OR) und Arbeitsvertrag (Art. 343 OR) leiten (BGE 127 111 421 E. 2 S. 424). Die gesetzliche Unter-</w:t>
      </w:r>
    </w:p>
    <w:p>
      <w:r>
        <w:t>- 10 - suchungsmaxime entbindet die Parteien nicht davon, im Rahmen des Zumutbaren bei der Erhebung der Beweise und der Erstel- lung des Sachverhalts mitzuwirken (vgl. etwa Maurer, Das neue Krankenversicherungsrecht, Basel 1996, S. 135 f. bei und in Anm. 335 und S. 164 f.; nicht veröffentlichtes Urteil des Bundesgerichts vom 11. August 2000 i.S. X. Kranken- und Un- fallversicherung, E. 2a, 5C.142/2000) . Es kann offen bleiben, ob zu den Mitwirkungspflichten die Subctantiierung in dem Sinne gehört, dass unsubstantiierte Bestreitungen ausser Be- tracht fallen, soweit die eingeklagte Forderung hinreichend substantiiert ist (so - im vergleichbaren - Klageverfahren über Beiträge der beruflichen Vorsorge: Urteil des Eidgenös- S1.SC11cn VC.L LL.Li .L Ully 7yCL 1 L..Li.s vom 217. September 20 01, L. la, in: SZS 2001 S. 562). Mit dem blossen Hinweis, die Klägerin habe vergessen, die Prämien abzuziehen, die für den Fall der Versicherungsdeckung geschuldet wären (S. 4 zu Ziff. 10 und</w:t>
      </w:r>
    </w:p>
    <w:p>
      <w:r>
        <w:rPr>
          <w:b/>
        </w:rPr>
        <w:t>E. 11</w:t>
      </w:r>
    </w:p>
    <w:p>
      <w:r>
        <w:t>der Klageantwort), hat die Beklagte die ihr obliegende Mitwirkungspflicht nicht erfüllt; es wäre ihr ohne weiteres zumutbar gewesen, die Prämie für Einzelversicherung mittels Auszug aus dem Prämientarif zu belegen (BGE 125 V 193 E. 2 S. 195; Meyer, Die Rechtspflege in der Sozialversicherung, BJM 1989, S. 1 ff., S. 12; Locher, Grundriss des Sozialver- sicherungsrechts, 2.A. Bern 1997, § 53 N. 8 f. S. 341). Die Beklagte legt einen Auszug aus dem Prärnientarif betreffend Einzeltaggeldversicherung nunmehr dem Bundesge- richt vor und substantiiert auf dieser Grundlage den Abzug von der eingeklagten Forderung. Das Beweismittel ist im Beru- fungsverfahren neu und unzulässig (Art. 55 Abs. 1 lit. c OG) ; das Novenverbot gilt auch bei bundesgesetzlich vorgeschrie- bener Untersuchungsmaxime (BGE 120 II 229 E. lc S. 231), ab- gesehen davon, dass diese gemäss Art. 47 Abs. 2 VAG nur das kantonale Verfahren beschlägt. Die Beklagte macht geltend, ihre Beweisofferte, die Höhe der entsprechenden Prämie mit- tels besagtem Auszug zu belegen, sei mit dem Hinweis abge-</w:t>
      </w:r>
    </w:p>
    <w:p>
      <w:r>
        <w:t>lehnt worden, dafür sei es jetzt anlässlich der Verhandlung zu spät. Soweit sie sich damit gegen die versicherungsge- richtliche Feststellung wenden will, an der Parteiverhandlung sei die Frage von den Parteien nicht im Detail erörtert wor- den, fehlen die für eine ausnahmsweise zulässige Sachver- haltsrüge erforderlichen Angaben (E. 2 hiervor). Desgleichen wäre in der Berufungsschrift unter Hinweis auf die entspre- chenden Aktenstellen darzutun gewesen, dass der Beweisantrag im kantonalen Verfahren form- und fristgerecht gestellt wor- den ist, soweit im Vorbringen der Beklagten die Rüge einer Verletzung des Beweisführungsanspruchs enthalten sein sollte (Art. 55 Abs. 1 lit. c OG; BGE 107 II 222 E. I/3 S. 224; Mönch, Berufung und zivilrechtliche Nichtigkeitsbeschwerde, in: Prozessieren vor Bundesgericht, 2.A. Basel 1998, N. 4.62 bei Anm. 164 S. 143) . Nach dem Gesagten bleibt die Berufung auch insoweit ohne Erfolg, als die Beklagte eventualiter eine Herabsetzung des Forderungsbetrags um Fr. 3'104.05 verlangt. 5= Die Beklagte wird kosten- und entschädigungspflich- tig (Art. 156 Abs. 1 und Art. 159 Abs. 1 und 2 OG); die grundsätzliche Kostenfreiheit gilt nur für das kantonale Ver- fahren (Art. 47 Abs. 2 i.V.m. Abs. 3 VAG).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