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20020110_i_ti_o_01 vom 10. Januar 2002</w:t>
      </w:r>
    </w:p>
    <w:p>
      <w:r>
        <w:t>FINMA Versicherungsrecht, 2002-01-10, IT</w:t>
      </w:r>
    </w:p>
    <w:p>
      <w:r>
        <w:rPr>
          <w:b/>
        </w:rPr>
        <w:t xml:space="preserve">Quelle: </w:t>
      </w:r>
      <w:r>
        <w:t>https://mcp.opencaselaw.ch/entscheid/finma_versicherungsrecht_20020110_i_ti_o_01</w:t>
      </w:r>
    </w:p>
    <w:p>
      <w:r>
        <w:t>FR: FINMA_VERSICHERUNGSRECHT 20020110_i_ti_o_01 du 10 janvier 2002</w:t>
      </w:r>
    </w:p>
    <w:p>
      <w:r>
        <w:t>IT: FINMA_VERSICHERUNGSRECHT 20020110_i_ti_o_01 del 10 gennaio 2002</w:t>
      </w:r>
    </w:p>
    <w:p>
      <w:pPr>
        <w:pStyle w:val="Heading2"/>
      </w:pPr>
      <w:r>
        <w:t>Erwägungen</w:t>
      </w:r>
    </w:p>
    <w:p>
      <w:r>
        <w:rPr>
          <w:b/>
        </w:rPr>
        <w:t>E. 10</w:t>
      </w:r>
    </w:p>
    <w:p>
      <w:r>
        <w:t>gennaio 2002 attorea. Oltretutto l'appellante ha rinunciato ad avvalersi della perizia giudiziaria per mezzo della quale avrebbe forse potuto dimostrare che la piegatura della lamiera era la conseguenza di un'effrazione. Ne consegue che l'attrice ha fallito nella prova della verosimiglianza del furto. Dovendosi già per questo motivo respingere l'appello non torna conto esaminare tutte le altre censure riguardanti, in particolare, i beni pretesi sottratti ed il loro valore. La tassa di giustizia, le spese e le ripetibili seguono la completa soccombenza dell'appellante (a rt. 148 CPC). Per questi motivi, visti gli art. 8 CC e 39 LCA I .. 1,...:...</w:t>
        <w:tab/>
        <w:t xml:space="preserve"> i LTG 11_ .... AAA # r #" e, per Ic Ji.1CAG, ICI VIyeLllUii L I G e 1 dI t. l't0 urli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