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20000608_d_sg_o_00 vom 8. Juni 2000</w:t>
      </w:r>
    </w:p>
    <w:p>
      <w:r>
        <w:t>FINMA Versicherungsrecht, 2000-06-08, DE</w:t>
      </w:r>
    </w:p>
    <w:p>
      <w:r>
        <w:rPr>
          <w:b/>
        </w:rPr>
        <w:t xml:space="preserve">Quelle: </w:t>
      </w:r>
      <w:r>
        <w:t>https://mcp.opencaselaw.ch/entscheid/finma_versicherungsrecht_20000608_d_sg_o_00</w:t>
      </w:r>
    </w:p>
    <w:p>
      <w:r>
        <w:t>FR: FINMA_VERSICHERUNGSRECHT 20000608_d_sg_o_00 du 8 juin 2000</w:t>
      </w:r>
    </w:p>
    <w:p>
      <w:r>
        <w:t>IT: FINMA_VERSICHERUNGSRECHT 20000608_d_sg_o_00 del 8 giugno 2000</w:t>
      </w:r>
    </w:p>
    <w:p>
      <w:pPr>
        <w:pStyle w:val="Heading2"/>
      </w:pPr>
      <w:r>
        <w:t>Erwägungen</w:t>
      </w:r>
    </w:p>
    <w:p>
      <w:r>
        <w:rPr>
          <w:b/>
        </w:rPr>
        <w:t>E. 2</w:t>
      </w:r>
    </w:p>
    <w:p>
      <w:r>
        <w:t>des Vertragsverhältnisses, sondern immer auch anhand des Objektes desselben. Eine Streitigkeit nur um ein Rechts- oder Vertragsverhältnis ohne ein von einem solchen er- fasstes Objekt ist ebenso unvorstellbar wie eine Streitigkeit um ein blosses Objekt, ohne dass es Gegenstand eines Rechts- oder Vertragsverhältnisses wäre. Der Streit zwischen der AGR und dem Kläger dreht sich um eine Rückkaufsklausel aus einem Tauschvertrag. Objekt des Rückkaufsrechtes, d.h. des streitigen Vertragsver- hältnisses, ist ein Grundstück, nämlich Grundbuchblatt 1165 Kat. Nr. 1005 Plan 6, Rei- chenburg SZ. Der Kläger selbst beantragt sowohl vor der Vorinstanz als auch in der Be- rufung in seinen Eventualbegehren die Gewährung von Rechtsschutz im ordentlichen zivil- rechtlichen Verfahren zwischen der AGR und ihm betreffend Grundbucheintragung etc. Somit handelt es sich wie die Vorinstanz richtig festgestellt hat, bei der Auseinanderset- zung zwischen der AGR und dem Kläger um eine Streitigkeit betreffend Gebäude und Grundstücke im Sinne von Art. 20 lit. h AVB. Kommt die Ausschlussklausel des Art. 20 lit. h AVB der Beklagten grundsätzlich zur Anwendung, ist zu prüfen, ob das Grundstück, das Gegenstand des streitigen Vertrags- verhältnisses in der Auseinandersetzung zwischen dem Kläger und der AGR ist, unter die Ausschlussklausel fällt. Der Kläger macht geltend, die Vorinstanz habe zu Unrecht angenommen, die Aus- schlussklausel komme zur Anwendung. Die Ausschlussklausel finde auf unüberbaute Grundstücke, sofern sie sich nicht ausserhalb der Schweiz und des Fürstentums Liech- tenstein befinden, keine Anwendung. Es sei offensichtlich und sprachlich unzweideutig, dass die drei Nebensätze "die nicht vom Versicherten selbst bewohnt sind, die mehr als drei Wohnungen umfassen ( ... ) und die gewerbs- oder berufsmässig genutzte Räume enthalten" sich nur auf Gebäude bzw. überbaute Grundstücke beziehen könnten. Die Beklagte bringt vor, Art. 20 lit. h AVB schliesse im ersten Halbsatz sämtliche Strei- tigkeiten betreffend Gebäude und Grundstücke aus. Dieser Ausschluss werde dann durch die nachfolgenden Halbsätze wieder gemildert. Ausgeschlossen bleiben dann unter ande- rem Streitigkeiten betreffend Gebäude und Grundstücke, welche nicht vom Versicherten selbst bewohnt sind. Die Vorinstanz habe zu Recht festgestellt, dass unüberbaute Grund- stücke von dieser Formulierung mitumfasst würden. Art. 20 lit. h AVB ist unbestrittenermassen Gegenstand des Vertrages geworden. Um- stritten ist aber der Inhalt der Bestimmung. Damit ist sie auszulegen. Dabei gelten für Ver- sicherungsvertragsbestimmungen die allgemeinen Regeln zur Vertragsauslegung (BGE 118 II 344 f.; 115 II 268; 112 II 253; Alfred Maurer, Schweizerisches Privat- versicherungsrecht, Bern 1995, S. 160 ff.; vgl. auch Bernard Viret, Privatversicherungs- recht, Zürich 1989, S. 108 f. sowie Duri Poltera, Der Rechtsschutzversicherungsvertrag und das Verfahren bei Meinungsverschiedenheiten in der Schadenabwicklung, St. Gallen 1999, S. 86 f.). Für die Auslegung einer Versicherungsvertragsbestimmung ist wie bei je- dem Vertrag grundsätzlich der wirkliche Wille der Parteien zu ermitteln. Lässt sich dieser nicht mehr feststellen, so ist auf den mutmasslichen Willen der Parteien abzustellen. Die- ser ist nach dem Vertrauensgrundsatz aufgrund aller Umstände des Vertragsabschlusses zu ermitteln. Dabei hat der Richter zu berücksichtigen, was sachgerecht ist, weil nicht an- zunehmen ist, dass die Parteien eine unangemessene Lösung gewollt haben (BGE 119 II 372; 115 II 268; Maurer, S. 161; vgl. auch Gauch/Schluep/Schmid/Rey, Schweizerisches Obligationenrecht Allgemeiner Teil, 1998, N 1201). Das primäre Auslegungsmittel ist der Wortlaut der von den Parteien verwendeten Wor- te. Dabei ist mangels anderer Anhaltspunkte anzunehmen, die Parteien hätten die Worte gemäss dem allgemeinen Sprachgebrauch zur Zeit des Vertragsabschlusses verwendet (BGE 115 II 269; 118 II 345; Gauch/Schluep/Schmid/Rey, N 1206 ff.; Maurer, S. 162; Vi- ret, S. 109). Die Vorinstanz hat bei der Auslegung der umstrittenen Ausschlussklausel festgestellt, die Beklagte gewähre keinen Rechtsschutz für Grundstücke, welche nicht vom Versi- cherten selbst bewohnt seien. Von dieser Formulierung seien zweifelsohne auch unbe- baute Grundstücke mitumfasst. Diese zutreffende Auslegung ergibt sich aus dem Wort</w:t>
      </w:r>
    </w:p>
    <w:p>
      <w:r>
        <w:rPr>
          <w:b/>
        </w:rPr>
        <w:t>E. 3</w:t>
      </w:r>
    </w:p>
    <w:p>
      <w:r>
        <w:t>sinn der Ausschlussklausel. Danach besteht kein Rechtsschutz für Streitigkeiten unter an- derm betreffend Gebäude und Grundstücke, die nicht vom Versicherten selbst bewohnt sind. Der Kläger verkennt, dass sich die vier Relativsätze jeweils auf die Substantive "Ge- bäude und Grundstücke" beziehen. Aufgrund dieses Wortpaares ist auch unerheblich, ob dem Terminus "Grundstücke" die Bedeutung des allgemeinen Sprachgebrauchs oder ein juristisch-technischer Sinn zukommt. Die von der Beklagten in ihren AVB gewählte Syntax gibt nämlich keinerlei Anlass, die vom Kläger behauptete Einteilung in zwei Gruppen von einerseits Gebäuden und Grundstücken nur ausserhalb der Schweiz und des Fürstentums Liechtenstein und andererseits nur Gebäuden bzw. überbauten Grundstücken anzuneh- men. Vielmehr ist die Ausschlussklausel nach der Sprachlogik und damit nach der Regel der Bejahung durch doppelte Verneinung (Litotes) zu verstehen. Von der Versicherungs- deckung ausgeschlossen sind Streitigkeiten betreffend Gebäude und Grundstücke (erste Verneinung), die nicht vom Versicherten selbst bewohnt sind (zweite Verneinung). Da sich die Bewohnbarkeit allein auf Gebäude oder überbaute Grundstücke beziehen kann, wird die Versicherungsdeckung so für Gebäude, die vom Versicherten selbst bewohnt sind, be- jaht. Für Gebäude, die nicht vom Versicherten selbst bewohnt sind, und für unüberbaute bzw. nicht bewohnbare Grundstücke bleibt der Versicherungsausschluss (erste Vernei- nung) - andere, zweite Verneinung vorbehalten - bestehen. Wollte man der Bestimmung den vom Kläger behaupteten Sinn und Inhalt geben, müsste man sie so formulieren, dass die Substantive je getrennt vor die entsprechenden Relativsätze gestellt werden. Bei der gewählten Formulierung aber ist klar, dass unüber- baute Grundstücke eben nicht selbst bewohnte Gebäude sein können und damit Gegen- stand des Leistungsausschlusses sind. Das Gegenstand der Streitigkeit zwischen dem Kläger und der AGR bildende Grund- stück wird unbestrittenermassen nicht vom Kläger selbst bewohnt. Damit ist die fragliche Streitigkeit vom Rechtsschutz der Beklagten ausgeschlossen. Nach den Regeln der Sprachlogik ist die Ausschlussklausel auch unzweideutig. An ih- rem Sinngehalt können keine ernsthaften Zweifel bestehen. Sie genügt somit den Anfor- derungen von Art. 33 VVG. Der zweite Satzteil dieser Gesetzesbestimmung ist eine ge- setzliche Auslegungsregel; er ist nichts anderes als eine ausdrückliche Verankerung der Unklarheitenregel für den Versicherungsvertrag (Maurer, S. 247). Die Unklarheitenregel darf nur herangezogen werden, wenn sich der wirkliche Wille der Parteien nicht aus Sinn und Wortlaut des Vertrages ermitteln lässt (vgl. Maurer, S. 163). In keinem Fall darf die Regel allein schon deswegen angewandt werden, weil die Auslegung streitig ist (Gauch/Schluep/Schmid/Rey, N 1232 mit Hinweis auf BGE 115 II 269). Aus der Tatsache, dass die Beklagte in der Zwischenzeit ihre AVB neu formuliert hat, kann der Kläger nichts ableiten. Massgebend ist die Auslegung der im fraglichen Zeitpunkt gültigen Ausschlussklausel und zwar nach dem allgemeinen Sprachgebrauch im Zeitpunkt des Vertragsabschlusses. Die Ausschlussklausel in Art. 20 lit. h AVB erweist sich somit gemäss dem allgemeinen Sprachgebrauch und den Regeln der Sprachlogik als bestimmt und unzweideutig. Damit sind Klage und Berufung insgesamt unbegründet. Ist die Streitigkeit zwischen dem Kläger und der AGR von der Versicherungsdeckung ausgeschlossen, braucht nicht weiter geprüft zu werden, ob die im Hauptbegehren des Klägers geltend gemachte Forderung der Höhe nach ausgewiesen ist und ob der Kläger seine Obliegenheiten aus dem Versicherungsvertrag verletzt und damit die Versiche- rungsdeckung verwirkt hat. Bei diesem Ausgang des Verfahrens hat der Kläger die Prozesskosten - sie bestehen aus den Gerichts- und den Parteikosten - zu bezahlen (Art. 264 Abs. 1 ZPO). Die Parteien haben sich auf einen Streitwert von Fr. 90'000.— geeinigt. Die Entscheidgebühr für das Berufungsverfahren wird auf Fr. 6'000.-- festgesetzt (Ziff. 321.2 GKT). Die Einschreibgebühr von Fr. 4'500.-- wird dem Kläger angerechnet. Der Vertreter der Beklagten hat keine Honorarnote eingereicht. Sein Honorar ist des- halb nach Ermessen festzulegen (Art. 6 HonO). Ausgehend vom streitwertabhängigen</w:t>
      </w:r>
    </w:p>
    <w:p>
      <w:r>
        <w:rPr>
          <w:b/>
        </w:rPr>
        <w:t>E. 4</w:t>
      </w:r>
    </w:p>
    <w:p>
      <w:r>
        <w:t>Honorar gemäss Art. 14 lit. d HonO und in Anwendung von Art. 26 lit. b HonO wird das Honorar auf Fr. 7'727.65 (inkl. Barauslagen und Mehrwertsteuer) festgesetzt. Die III. Zivilkammer hat entschieden: 1. Die Berufung wird abgewiesen. 2. Die Kosten des Beruf ungsverfahrens von Fr. 6'000.-- bezahlt der Kläger. Die Einschreibgebühr von Fr. 4'500.-- wird ihm angerechnet. 3. Der Kläger hat die Beklagte mit Fr. 7727.65 für das Berufungsverfahren zu ent- 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