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20000309_f_ch_b_00 vom 9. März 2000</w:t>
      </w:r>
    </w:p>
    <w:p>
      <w:r>
        <w:t>FINMA Versicherungsrecht, 2000-03-09, FR</w:t>
      </w:r>
    </w:p>
    <w:p>
      <w:r>
        <w:rPr>
          <w:b/>
        </w:rPr>
        <w:t xml:space="preserve">Quelle: </w:t>
      </w:r>
      <w:r>
        <w:t>https://mcp.opencaselaw.ch/entscheid/finma_versicherungsrecht_20000309_f_ch_b_00</w:t>
      </w:r>
    </w:p>
    <w:p>
      <w:r>
        <w:t>FR: FINMA_VERSICHERUNGSRECHT 20000309_f_ch_b_00 du 9 mars 2000</w:t>
      </w:r>
    </w:p>
    <w:p>
      <w:r>
        <w:t>IT: FINMA_VERSICHERUNGSRECHT 20000309_f_ch_b_00 del 9 marzo 2000</w:t>
      </w:r>
    </w:p>
    <w:p>
      <w:pPr>
        <w:pStyle w:val="Heading2"/>
      </w:pPr>
      <w:r>
        <w:t>Erwägungen</w:t>
      </w:r>
    </w:p>
    <w:p>
      <w:r>
        <w:rPr>
          <w:b/>
        </w:rPr>
        <w:t>E. 6</w:t>
      </w:r>
    </w:p>
    <w:p>
      <w:r>
        <w:t>On admet en doctrine que le début de la prescription prévue par l'art. 46 al. 1 LCA ne dépend pas de la connaissance du "fait d'où naît l'obligation", soit du sinistre, par l'ayant droit (Hans Roelli, Kommentar zum Schweizerischen Bundesgesetze über den Versicherungsvertrag, vol. 1, 1914, n. 3b ad art. 46; Keller/Tännler, op. cit., p. 668 s.). Spiro défend ce point de vue en matière d'assurance contre les dommages (Karl Spiro, Zur Verjährung des Ersatzanspruchs aus Schadensversicherung, in: Mélanges Pierre Engel, Lausanne 1989, p. 371 ss, spéc. 374 s; cf. aussi Maurer, op. cit., p. 292, qui ne prend pas position). Suter soutient, en matière d'assurance vol, l'avis de Roelli, Keller et Spiro (Hans Rudolf Suter, Allgemeine Bedingungen der Diebstahl-Versicherung, Berne 1978, p. 203 s.). Il y a toutefois des avis divergents. Ainsi Thalmann, s'il préconise, en matière d'assurance contre le vol avec effraction, que la prescription commence à courir, le jour de l'effraction, qui peut être facilement constatée en général, estime déterminante, en cas de doute, la date à laquelle l'effraction a été découverte; de même en matière de vol simple, le dies a quo est le jour du vol et, en cas de doute, la date de la découverte de celui-ci (Ernst A. Thalmann, Die Verjährung im Privatversicherungsrecht, thèse Zurich 1940, p. 160). Selon Pétermann, le "fait d'où naît l'obligation" ne peut être considéré comme réalisé avant que l'ayant droit n'ait connu ou tout au moins dû connaître non seulement le sinistre, mais encore ses effets, soit l'étendue approximative du dommage qui en est résulté (P. Pétermann, La prescription des actions, in: RSA 1959/60, p. 299, 353, 395, spéc. p. 305 ss, 353, 396). Concernant l'assurance choses, Meuwly estime que la prescription biennale de l'art. 46 al. 1 LCA commence à courir au moment où l'assuré a effectivement connaissance ou aurait pu ou dû avoir connaissance de sa qualité d'ayant droit, de l'existence du sinistre particulier ainsi que de l'importance - même sommaire - de son dommage (Jean Benoît Meuwly, La durée de la couverture d'assurance privée, Fribourg 1994, p. 344, 440). Ces derniers auteurs, comme le recourant, interprètent la notion de "fait d'où naît l'obligation" de manière à éviter que le droit au dédommagement de l'assuré envers l'as- sureur puisse se prescrire avant que le vol n'ait été découvert ou connu de l'assuré. On relève toutefois, d'une part, qu'une telle interprétation est contraire à la volonté du lé- gislateur selon laquelle le délai de prescription ne devait commencer à courir ni avec l'échéance de la prestation de l'assureur selon l'art. 41 LCA, ni avec l'échéance selon les principes du CO, ni avec la connaissance des faits décisifs pour la naissance de la prétention, mais à un moment plus précis (cf. ATF 118 II 447 consid. 2b p. 455 et les références; 68 II 106); d'autre part, l'nterprétation traditionnelle, selon laquelle la prescription commence à courir dès la survenance du sinistre, n'empêche pas l'assuré diligent d'éviter que sa créance, se prescrive avant qu'il en ait connaissance. Il suffit en effet qu'il contrôle ou fasse contrôler régulièrement, l'état des biens assurés, ce qui lui permet de constater un éventuel vol avant que son droit à l'indemnité découlant du contrat d'assurance vol ne soit prescrit ou périmé. Ainsi, il y a lieu de retenir qu'il incombe à l'assuré ou à l'ayant droit de vérifier régulièrement l'état des objets assurés afin de découvrir un éventuel vol. S'il néglige cette incombance, il s'expose à la prescription ou péremption de ses droits découlant du contrat d'assurance. En conclusion, il y a lieu de retenir que la prescription de l'art. 46 al. 1 LCA en matière d'assurance vol commence à courir dès la survenance du sinistre. En l'espèce, la clause de péremption stipulée prévoit que les droits contre l'assureur s'éteignent si on ne les fait pas valoir en justice dans les deux ans qui suivent la survenance du sinistre. Cette clause indique sans équivoque que le dies a quo de la péremption se situe au moment du vol. Le délai de péremption contractuel et le délai de prescription légal commençant à courir la clause de péremption contractuelle est valable au regard de l'art. 46 al. 2 LCA. La cour de justice n'a dès lors pas violé le droit fédéral en appliquant cette clause et en jugeant que l'action du recourant était périmée. Il résulte de ce qui précède que le recours doit être rejeté dans la mesure où il est recevable, aux frais de son auteur (art. 156 al. 1 et 159 al. 1 OJ).</w:t>
      </w:r>
    </w:p>
    <w:p>
      <w:r>
        <w:rPr>
          <w:b/>
        </w:rPr>
        <w:t>E. 7</w:t>
      </w:r>
    </w:p>
    <w:p>
      <w:r>
        <w:t>Par ces motifs, le T r i b u n a l f é d é r a l 1. Rejette le recours dans la mesure où il est recevable et confirme l'arrêt attaqué. 2. Met à la charge du recourant: a) un émolument judiciaire de 8000 fr. b) une indemnité de 8000 fr. à payer à l'intimée à titre de dépens. 3. Communique le présent arrêt en copie aux mandataires des parties et à la Chambre civile de la Cour de justice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