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FINMA_VERSICHERUNGSRECHT 20000108_f_ch_b_00 vom 8. Januar 2000</w:t>
      </w:r>
    </w:p>
    <w:p>
      <w:r>
        <w:t>FINMA Versicherungsrecht, 2000-01-08, FR</w:t>
      </w:r>
    </w:p>
    <w:p>
      <w:r>
        <w:rPr>
          <w:b/>
        </w:rPr>
        <w:t xml:space="preserve">Quelle: </w:t>
      </w:r>
      <w:r>
        <w:t>https://mcp.opencaselaw.ch/entscheid/finma_versicherungsrecht_20000108_f_ch_b_00</w:t>
      </w:r>
    </w:p>
    <w:p>
      <w:r>
        <w:t>FR: FINMA_VERSICHERUNGSRECHT 20000108_f_ch_b_00 du 8 janvier 2000</w:t>
      </w:r>
    </w:p>
    <w:p>
      <w:r>
        <w:t>IT: FINMA_VERSICHERUNGSRECHT 20000108_f_ch_b_00 del 8 gennaio 2000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Communique le présent arrêt en copie aux parties et au Tribunal des assurances du canton de Vaud.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