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19990331_d_zh_o_00 vom 31. März 1999</w:t>
      </w:r>
    </w:p>
    <w:p>
      <w:r>
        <w:t>FINMA Versicherungsrecht, 1999-03-31, DE</w:t>
      </w:r>
    </w:p>
    <w:p>
      <w:r>
        <w:rPr>
          <w:b/>
        </w:rPr>
        <w:t xml:space="preserve">Quelle: </w:t>
      </w:r>
      <w:r>
        <w:t>https://mcp.opencaselaw.ch/entscheid/finma_versicherungsrecht_19990331_d_zh_o_00</w:t>
      </w:r>
    </w:p>
    <w:p>
      <w:r>
        <w:t>FR: FINMA_VERSICHERUNGSRECHT 19990331_d_zh_o_00 du 31 mars 1999</w:t>
      </w:r>
    </w:p>
    <w:p>
      <w:r>
        <w:t>IT: FINMA_VERSICHERUNGSRECHT 19990331_d_zh_o_00 del 31 marzo 1999</w:t>
      </w:r>
    </w:p>
    <w:p>
      <w:pPr>
        <w:pStyle w:val="Heading2"/>
      </w:pPr>
      <w:r>
        <w:t>Erwägungen</w:t>
      </w:r>
    </w:p>
    <w:p>
      <w:r>
        <w:rPr>
          <w:b/>
        </w:rPr>
        <w:t>E. 2</w:t>
      </w:r>
    </w:p>
    <w:p>
      <w:r>
        <w:t>von Anfang an gewusst, dass sie sich bei Zugehörigkeit zur Krankenkasse Helvetia im Alter den Versicherungsschutz nicht mehr leisten könne, wäre sie schon früher einer an- dern Krankenkasse beigetreten, deren Spitalzusatzversicherungen für die bisherigen Ver- sicherten auch nach Einführung des neuen KVG wesentlich tiefer seien, als diejenigen der Helsana. Die Krankenkasse Helvetia habe das Vertrauen der Versicherten auf Beibehal- tung der Prämienkategorie des Eintrittsalters missbraucht, indem sie die Beibehaltung des Solidaritätsprinzips als Hauptargument für den Verkauf der Spitalzusatzversicherung an jüngere Menschen benützt habe. Mit deren Prämien seien denn auch die Leistungen für die Risiken der älteren Versicherten erbracht worden. Zu Recht verfolgt die Klägerin demnach mit ihrer Klage nicht die Wahrung des Besitz- standes gemäss Art 102 Abs. 2 KVG, denn die Beklagte hat ihr mit der Zusatzversiche- rung HOSPITAL COMFORT CLASSICA einen Versicherungsvertrag angeboten, der min- destens den gleichen Versicherungsschutz gewährt wie die bisherige Versicherungsab- teilung HOSPITAL COMFORT. Auch hat sie bei der Prämienfestsetzung die unter dem früheren Recht zurückgelegten Versicherungszeiten angerechnet und schliesst Art. 102 Abs. 2 KVG die Höhe und die Art der Bestimmung der Prämie nicht in den Besitzstand ein (BGE 124 III 229). Zu letzterem hat das Bundesgericht festgehalten, dass schon im bisherigen Recht hinsichtlich der Prämienhöhe keine Garantie bestanden habe und den Versicherten keine wohlerworbenen Rechte erwachsen seien. Dennoch seien viele Versi- cherte von der Annahme ausgegangen, dass das System nicht geändert werden würde und sie dereinst nach Jahren oder Jahrzehnten der Mitgliedschaft den von der jüngeren Generation zugunsten der älteren Versicherten entrichteten Solidaritätszuschlag ebenfalls einfordern und ihrerseits von einer tieferen Prämie profitieren könnten. Es gelte allerdings zu berücksichtigen, dass während der zurückgelegten Versicherungsdauer keine indivi- duelle Vorfinanzierung einer künftigen - durch steigendes Erkrankungsrisiko erhöhten - Belastung stattgefunden habe, wie es einem Kapitaldeckungsverfahren entsprechen wür- de. Vielmehr seien die Zusatzversicherungen der Krankenkassen unter dem alten Kran- kenversicherungsrecht nach dem Umlageverfahren finanziert worden, so dass die Prä- mieneinnahmen eines bestimmten Jahres in der Finanzierung der Krankheitskosten des gleichen Jahres aufgegangen seien, weshalb die Bildung individueller Altersrück- stellungen, die eingefordert werden könnten, unter dem alten System gar nicht möglich gewesen sei (BGE 124 III 237 Erw. 3. b.bb). Aus der Tatsache, dass sie über diese Zusammenhänge bei Abschluss der HOSPITAL COMFORT von der Krankenkasse Helvetia nicht oder falsch orientiert worden ist, leitet die Klägerin ihre Schadenersatzforderung ab. Gerügt wird somit ausschliesslich das Verhalten der Krankenkasse als Trägerin der altrechtlichen Zusatzversicherungen, welche diese im Rahmen von Art. 3 Abs. 5 KUVG betrieben hat und die Teil der sozialen Krankenversiche- rung bildeten. Als Träger der sozialen Krankenversicherung fiel die Krankenkasse Helvetia unter Art. 1 Abs. 1 lit. f des Verantwortlichkeitsgesetzes (VG), weshalb für die geltend gemachte Schadenersatzforderung das Sozialversicherungsgericht weder gestützt auf Art. 86 Abs. 2 KVG noch gestützt auf Art. 47 Abs. 2 des Versicherungsaufsichtsgesetzes (VAG) zustän- dig ist. Gegen eine Verfügung, mit der die in Anspruch genommene Organisation einen Schadenersatzanspruch ablehnt, sieht Art. 19 Abs. 4 VVG vielmehr die Verwaltungsge- richtsbeschwerde ans Bundesgericht vor. Der Anspruch auf Ersatz für die Umtriebe und den Schaden im Zusammenhang mit der anfänglichen Ablehnung von Leistungen durch die Krankenkasse Helvetia für die von der früheren Zusatzversicherung BASIS-TOP offenbar gedeckten Medikamente Phlogenzym, Wobenzym und Cella Burgerstein, welcher zusätzlich eingeklagt wird, kann ebenfalls nur auf dem im Verantwortlichkeitsgesetz vorgesehenen Rechtsweg geltend gemacht werden, denn auch in diesem Fall ist das Verhalten der mit öffentlich rechtlichen Bundesaufgaben betrauten Krankenkasse zu beurteilen. Auch dafür ist das Sozialversicherungsgericht nicht zuständig.</w:t>
      </w:r>
    </w:p>
    <w:p>
      <w:r>
        <w:rPr>
          <w:b/>
        </w:rPr>
        <w:t>E. 3</w:t>
      </w:r>
    </w:p>
    <w:p>
      <w:r>
        <w:t>Demnach ist auf die Klage nicht einzutreten. Nach ständiger Rechtsprechung des Bundesgerichts hat eine bedürftige Person in ei- nem für sie nicht aussichtslosen Zivilprozess unmittelbar aufgrund von Art. 4 BV Anspruch auf unentgeltliche Rechtspflege und auf Ernennung eines unentgeltlichen Rechtsbeistan- des, sofern sie eines solchen zur gehörigen Wahrung ihrer Interessen bedarf (BGE 110 la 88 mit Hinweisen). Dementsprechend hält § 16 des Gesetzes über das Sozialversiche- rungsgericht fest, dass einer Partei auf Gesuch eine unentgeltliche Rechtsvertretung be- stellt wird, wenn sie nicht in der Lage ist, den Prozess selber zu führen, ihr die nötigen Mittel fehlen und der Prozess nicht als aussichtslos erscheint. Angesichts der fehlenden Zuständigkeit des Sozialversicherungsgerichts für Schaden- ersatzforderungen gegen Träger öffentlichrechtlicher Bundesaufgaben erwies sich die vorliegende Klage von vornherein als aussichtslos. Da eine Beibehaltung des bisherigen Prämienniveaus, wie oben dargelegt, auch unter dem Gesichtspunkt der Besitzstands- wahrung nicht erreicht werden kann, bestand überdies kein Anlass, der Klägerin einen unentgeltlichen Rechtsvertreter zu bestellen, um die Schadenersatzklage in eine Klage im Sinne von Art. Art. 47 Abs. 2 VAG abzuändern. Im übrigen hat die Klägerin mit ihren Ein- gaben an das Gericht und ihren Recherchen bewiesen, dass sie in der Lage ist, die mit der Wahrung des Besitzstandes gemäss Art. 102 Abs. 4 KVG verbundene Problematik zu erkennen und die möglichen Vorkehren zu treffen. Das Gesuch um Bestellung eines un- entgeltlichen Rechtsbeistandes ist daher abzulehnen.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