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19990322_d_ch_b_00 vom 22. März 1999</w:t>
      </w:r>
    </w:p>
    <w:p>
      <w:r>
        <w:t>FINMA Versicherungsrecht, 1999-03-22, DE</w:t>
      </w:r>
    </w:p>
    <w:p>
      <w:r>
        <w:rPr>
          <w:b/>
        </w:rPr>
        <w:t xml:space="preserve">Quelle: </w:t>
      </w:r>
      <w:r>
        <w:t>https://mcp.opencaselaw.ch/entscheid/finma_versicherungsrecht_19990322_d_ch_b_00</w:t>
      </w:r>
    </w:p>
    <w:p>
      <w:r>
        <w:t>FR: FINMA_VERSICHERUNGSRECHT 19990322_d_ch_b_00 du 22 mars 1999</w:t>
      </w:r>
    </w:p>
    <w:p>
      <w:r>
        <w:t>IT: FINMA_VERSICHERUNGSRECHT 19990322_d_ch_b_00 del 22 marzo 1999</w:t>
      </w:r>
    </w:p>
    <w:p>
      <w:pPr>
        <w:pStyle w:val="Heading2"/>
      </w:pPr>
      <w:r>
        <w:t>Erwägungen</w:t>
      </w:r>
    </w:p>
    <w:p>
      <w:r>
        <w:rPr>
          <w:b/>
        </w:rPr>
        <w:t>E. 2</w:t>
      </w:r>
    </w:p>
    <w:p>
      <w:r>
        <w:t>ist, sondern dass rechtsgenüglich darzutun ist, inwiefern das Beweisergebnis ohne Würdi- gung der ausser Acht gelassenen Beweise willkürlich ist; das hat sie nicht darzulegen vermocht. Und soweit die Klägerin hier noch die Verletzung kantonalen Prozessrechts rügt, steht die Berufung nicht zur Verfügung (Art. 43 Abs. 1 und Art. 55 Abs. 1 lit. c OG). Die Klägerin will ferner angebliche Aktenwidrigkeiten als offensichtliche Versehen im Sinne von Art. 63 Abs. 2 OG verstanden und behandelt wissen. In Wirklichkeit übt sie auch hier bloss unzulässige Kritik an der Beweiswürdigung. Das Berufungsverfahren kennt die Rüge der Aktenwidrigkeit nicht (BGE 110 II 494 E. 4 S. 497). Ein offensichtliches Versehen, das vom Bundesgericht gestützt auf Art. 63 Abs. 2 OG berichtigt werden könnte, liegt nach der Rechtsprechung nur vor, wenn die Vorinstanz eine bestimmte Ak- tenstelle übersehen oder unrichtig, insbesondere nicht mit ihrem richtigen Wortlaut, wahr- genommen hat (BGE 110 II 494 E. 4, 104 II 68 E. 3b, je mit Hinweisen). Dass das im Ein- zelfall zutrifft, hat die behauptende Partei mit genauen Aktenhinweisen darzutun (BGE 115 II 484 E. 2a mit Hinweisen); die Klägerin beruft sich indessen nicht auf solchermassen falsch verstandene Aktenstellen. Ihre Vorbringen, in keiner der Rechtsschriften der Be- klagten finde sich die Behauptung, die Ehefrau habe anstelle von C. den Brand gelegt und die Polizeiorgane hätten diesbezüglich keine Untersuchung durchgeführt, beschlagen die Würdigung der Beweise zur Frage, ob das Schadenereignis von C. bzw. mit seinem Wis- sen absichtlich im Sinne von Art. 14 Abs. 1 VVG herbeigeführt worden ist. Die unterliegende Klägerin wird kostenpflichtig (Art. 156 Abs. 1 OG). Da die Beklagte nicht eingeladen worden ist, eine Berufungsantwort einzureichen,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