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19960125_d_ag_o_00 vom 25. Januar 1996</w:t>
      </w:r>
    </w:p>
    <w:p>
      <w:r>
        <w:t>FINMA Versicherungsrecht, 1996-01-25, DE</w:t>
      </w:r>
    </w:p>
    <w:p>
      <w:r>
        <w:rPr>
          <w:b/>
        </w:rPr>
        <w:t xml:space="preserve">Quelle: </w:t>
      </w:r>
      <w:r>
        <w:t>https://mcp.opencaselaw.ch/entscheid/finma_versicherungsrecht_19960125_d_ag_o_00</w:t>
      </w:r>
    </w:p>
    <w:p>
      <w:r>
        <w:t>FR: FINMA_VERSICHERUNGSRECHT 19960125_d_ag_o_00 du 25 janvier 1996</w:t>
      </w:r>
    </w:p>
    <w:p>
      <w:r>
        <w:t>IT: FINMA_VERSICHERUNGSRECHT 19960125_d_ag_o_00 del 25 gennaio 1996</w:t>
      </w:r>
    </w:p>
    <w:p>
      <w:pPr>
        <w:pStyle w:val="Heading2"/>
      </w:pPr>
      <w:r>
        <w:t>Erwägungen</w:t>
      </w:r>
    </w:p>
    <w:p>
      <w:r>
        <w:rPr>
          <w:b/>
        </w:rPr>
        <w:t>E. 2</w:t>
      </w:r>
    </w:p>
    <w:p>
      <w:r>
        <w:t>Die Beklagte habe der Klägerin die Prämie 1993 von Fr. 2'000.--, vorbehältlich einer plausiblen, präzisen beklagtischen Abrechnung, zurückzuerstatten.</w:t>
      </w:r>
    </w:p>
    <w:p>
      <w:r>
        <w:rPr>
          <w:b/>
        </w:rPr>
        <w:t>E. 3</w:t>
      </w:r>
    </w:p>
    <w:p>
      <w:r>
        <w:t>Die Beklagte habe die Leistungen gemäss Überschussbeteiligung ab 1.1.1985 auszu- richten.</w:t>
      </w:r>
    </w:p>
    <w:p>
      <w:r>
        <w:rPr>
          <w:b/>
        </w:rPr>
        <w:t>E. 4</w:t>
      </w:r>
    </w:p>
    <w:p>
      <w:r>
        <w:t>Die Beklagte habe der Klägerin die Erwerbsunfähigkeitsrente im Betrage von Fr. 10'000.--, eine präzise plausible, von der Beklagten zu erstellende Abbrechung vorbehalten, auszurichten. Alles unter Abzug des Überweisungsbetrages gemäss Rückkaufswert- und Prämienab- rechnung vom 29.12.93 von Fr. 5'137.55, sofern dieser bis zum Gerichtsurteil der Klägerin ausgerichtet worden ist.</w:t>
      </w:r>
    </w:p>
    <w:p>
      <w:r>
        <w:rPr>
          <w:b/>
        </w:rPr>
        <w:t>E. 5</w:t>
      </w:r>
    </w:p>
    <w:p>
      <w:r>
        <w:t>Die Beklagte sei zu verurteilen, der Klägerin auf den vorgenannten Leistungen einen Verzugszins von 5 % seit 13.12.94 zu bezahlen.</w:t>
      </w:r>
    </w:p>
    <w:p>
      <w:r>
        <w:rPr>
          <w:b/>
        </w:rPr>
        <w:t>E. 6</w:t>
      </w:r>
    </w:p>
    <w:p>
      <w:r>
        <w:t>sen, da die Parteien auch Kinder gewollt hätten. So wurde nach Darstellung des als Zeugen befragten Dr. W - die Blutkontrolle wegen eines chronischen Schnupfens des Versicherungs- nehmers H - P - M. angeordnet. Zudem wäre auch nicht einzusehen, weshalb H - P - M - we- gen eines Kinderwunsches nun plötzlich einen Aids-Test hätte durchführen lassen sollen, nachdem er mit der Klägerin in jenem Zeitpunkt bereits ein gesundes Kind hatte. Deuten diese Umstände sowie die nachgewiesene Verletzung der Auskunftspflicht in den Jahren 1988 und 1991 schon darauf hin, dass der Antragsteller bereits vor dem 10. Novem- ber 1981 nebst Haschisch auch Heroin mittels Injektion konsumiert haben muss, so erscheint mit der von ihm anlässlich der Eröffnung des Testresultates im Juli 1991 abgegebenen Erklä- rung über seinen Drogenkonsum, der Nachweis geleistet, dass er vor der Abgabe der Ge- sundheitserklärung im November 1981 in einem Ausmass Drogen konsumiert hat, welches ihn gegenüber der Beklagten auskunftspflichtig gemacht hätte. In jener vom Hausarzt ausge- füllten Formularerklärung machte der Versicherungsnehmer folgende Angaben über den in- travenösen Konsum von Drogen: "Letztmals: 84 Jahr? Erstmals 79 Jahr". Entgegen der an- lässlich der vorinstanzlichen Hauptverhandlung abgegebenen Erklärung der Klägerin wurde auf diesem Formular weiter erklärt, es sei "selten" zum Austausch von Nadeln und Spritzen mit andern Personen gekommen. Vor der Abgabe der Erklärung hatte sich die H - P -M - bei Dr. W - rückversichert, dass die Beantwortung dieser Fragen vertraulich erfolge. Diese Er- kundigung sowie das Fragezeichen zum Jahr, in welchem letztmals Drogen injiziert worden sind, lassen eindeutig darauf schliessen, dass die Parteien damals der Wahrheit entspre- chende Angaben abgegeben haben. Die Klägerin hat nun zwar vor Obergericht behauptet, die Befragung zwecks Ausfüllung des Formularfragebogens habe unmittelbar nach Eröffnung des positiven Testergebnisses, d.h. am 9. Juli 1991, stattgefunden und nicht erst am 13. Juli 1991, wie sich dies aus der Datierung des Fragebogens ergibt. Unter dem Schock der Er- öffnung hätten ihr Mann und sie deshalb den gestellten Fragen nicht die nötige Beachtung geschenkt (obergerichtliches Protokoll). Nun hat jedoch Dr. M. W. an der vorinstanzlichen Hauptverhandlung klar angegeben, den Fragebogen am 13. Juli 1991, d.h. vier Tage nach Bekanntgabe des Testresultats, ausgefüllt zu haben. Vor Vorinstanz hat sich die Klägerin denn auch nicht so überzeugt gezeigt, dass der Fragebogen bereits am 9. Juli 1991 ausge- füllt worden ist. Sie gab lediglich an, bei dieser Befragung anwesend gewesen zu sein. Auf- grund dieser Umstände ist davon auszugehen, dass die strittige Frage am 13. Juli 1991, d.h. nicht unter dem unmittelbaren Schock der Eröffnung des Testergebnisses, beantwortet wur- de. An der Schlüssigkeit dieser Erklärungen ändern die später abgegebenen korrigierten An- gaben ebensowenig wie die von Dr. W - vorgenommene Relativierung in seinem Schreiben vom 25. Januar 1994. Beide Umstände vermögen erst recht die mit dieser Erklärung ge- schaffene tatsächliche Vermutung für die Wahrheit der unbeeinflusst abgegebenen Erklärun- gen nicht umzustossen (vgl. Kummer, Berner Kommentar, ZGB, Bern 1962, N. 362 ff. zu Art. 8): H - P - M - war sich spätestens nach der Auflösung des Versicherungsvertrages durch die Beklagte innert der vierwöchigen Frist von Art. 6 VVG am 14. Dezember 1993 über die Be- deutung seiner Angaben mit Bezug auf den Zeitpunkt des Drogenkonsums bewusst, und die Ausführungen des Dr. W - in seinem Schreiben vom 25. Januar 1994 gehen auf die ent- scheidende Frage nicht ein, ob die im Juli 1991 vertraulich abgegebene Erklärung des Ver- sicherungsnehmers zutreffend war oder nicht, sie erscheinen vielmehr einzig mit Mitgefühl begründet. Anlässlich der vorinstanzlichen Beweisverhandlung hat Dr. W - im übrigen aus- drücklich bestätigt, dass keine Anhaltspunkte dafür bestünden, dass die Angaben vom Juli 1991 unzutreffend gewesen wären. Der Nachweis der Anzeigepflichtverletzung ist daher mit dem rechtsgenüglichen Beweisgrad hoher Wahrscheinlichkeit geleistet und die Klage dem- nach zu Recht abgewiesen worden.</w:t>
      </w:r>
    </w:p>
    <w:p>
      <w:r>
        <w:rPr>
          <w:b/>
        </w:rPr>
        <w:t>E. 7</w:t>
      </w:r>
    </w:p>
    <w:p>
      <w:r>
        <w:t>Nicht eingegangen zu werden braucht bei diesem Verfahrensausgang auf die Frage der Identität des Streitgegenstandes nach der Prozessübernahme durch die Klägerin als Univer- salerbin (Art. 560 ZGB i.V.m. § 62 Abs. 1 ZPO). Damit ist die Appellation abzuweisen. Ausgangsgemäss sind die zweitinstanzlichen Ver- fahrenskosten der Klägerin aufzuerlegen und sie ist zum Ersatz der zweitinstanzlichen Partei- kosten der Beklagten zu verpflichten (§ 112 Abs. 1 ZPO). Demgemäss wird e r k a n n t Die Appellation wird abgewiesen. Die zweitinstanzlichen Verfahrenskosten, bestehend aus einer Gerichtsgebühr von Fr. 3'000.-- sowie der Kanzleigebühr und den Auslagen von Fr. 315.--, zusammen Fr. 3'315.--, werden der Klägerin auferlegt. Die Klägerin wird verpflichtet, der Beklagten eine Parteientschädigung von Fr. 600.-- für das zweitinstanzliche 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