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2025-48 vom 18. Februar 2025</w:t>
      </w:r>
    </w:p>
    <w:p>
      <w:r>
        <w:t>FINMA, 2025-02-18, DE</w:t>
      </w:r>
    </w:p>
    <w:p>
      <w:r>
        <w:rPr>
          <w:b/>
        </w:rPr>
        <w:t xml:space="preserve">Quelle: </w:t>
      </w:r>
      <w:r>
        <w:t>https://mcp.opencaselaw.ch/entscheid/finma_2025-48</w:t>
      </w:r>
    </w:p>
    <w:p>
      <w:r>
        <w:t>FR: FINMA 2025-48 du 18 février 2025</w:t>
      </w:r>
    </w:p>
    <w:p>
      <w:r>
        <w:t>IT: FINMA 2025-48 del 18 febbraio 2025</w:t>
      </w:r>
    </w:p>
    <w:p>
      <w:pPr>
        <w:pStyle w:val="Heading2"/>
      </w:pPr>
      <w:r>
        <w:t>Volltext</w:t>
      </w:r>
    </w:p>
    <w:p>
      <w:r>
        <w:t>Partei: A (natürliche Person)</w:t>
      </w:r>
    </w:p>
    <w:p>
      <w:r>
        <w:t>Bereich: Amtshilfe</w:t>
      </w:r>
    </w:p>
    <w:p>
      <w:r>
        <w:t>Thema: andere</w:t>
      </w:r>
    </w:p>
    <w:p>
      <w:r>
        <w:t>Zusammenfassung: Die FINMA wurde von einer ausländischen Behörde im Rahmen der internationalen Amtshilfe (Art. 42 ff. FINMAG ) um Bankkundendaten im Zusammenhang mit deren Untersuchung wegen Verdachts auf Verletzung von Finanzmarktrecht, namentlich Verstoss gegen die Verpflichtung zur Abgabe von Stimmrechtsmitteilungen, ersucht. Im Kundenverfahren (Art. 42 a FINMAG) sprach sich A ohne Begründung gegen eine Übermittlung ihrer Daten an die ausländische Behörde aus und verlangte eine Verfügung der FINMA. In ihrer Verfügung kam die FINMA zum Schluss, dass sämtliche Amtshilfevoraussetzungen gemäss Art. 42 FINMAG erfüllt sind, weshalb die Amtshilfe an die ausländische Behörde rechtmässig ist.</w:t>
      </w:r>
    </w:p>
    <w:p>
      <w:r>
        <w:t>Massnahmen: None</w:t>
      </w:r>
    </w:p>
    <w:p>
      <w:r>
        <w:t>Rechtskraft: rechtskräftig; eine gegen die Verfügung erhobene Beschwerde wurde vom Bundesverwaltungsgericht abgewiesen; Urteil B-1427/2025 vom 24.04.2025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