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2024-19 vom 1. Januar 2024</w:t>
      </w:r>
    </w:p>
    <w:p>
      <w:r>
        <w:t>FINMA, 2024-01-01, DE</w:t>
      </w:r>
    </w:p>
    <w:p>
      <w:r>
        <w:rPr>
          <w:b/>
        </w:rPr>
        <w:t xml:space="preserve">Quelle: </w:t>
      </w:r>
      <w:r>
        <w:t>https://mcp.opencaselaw.ch/entscheid/finma_2024-19</w:t>
      </w:r>
    </w:p>
    <w:p>
      <w:r>
        <w:t>FR: FINMA 2024-19 du 1 janvier 2024</w:t>
      </w:r>
    </w:p>
    <w:p>
      <w:r>
        <w:t>IT: FINMA 2024-19 del 1 gennaio 2024</w:t>
      </w:r>
    </w:p>
    <w:p>
      <w:pPr>
        <w:pStyle w:val="Heading2"/>
      </w:pPr>
      <w:r>
        <w:t>Volltext</w:t>
      </w:r>
    </w:p>
    <w:p>
      <w:r>
        <w:t>Partei: Versicherungsvermittler X (natürliche Person)</w:t>
      </w:r>
    </w:p>
    <w:p>
      <w:r>
        <w:t>Bereich: Bewilligte</w:t>
      </w:r>
    </w:p>
    <w:p>
      <w:r>
        <w:t>Thema: andere</w:t>
      </w:r>
    </w:p>
    <w:p>
      <w:r>
        <w:t>Zusammenfassung: Die natürliche Person X ist im Versicherungsvermittlerregister der FINMA eingetragen. Mit der am 1. Januar 2024 in Kraft getretenen Revision des Versicherungsaufsichtsrechts musste X im Rahmen der Nachdokumentation den Nachweis erbringen, die Registrierungsvoraussetzungen gemäss Art. 41 VAG zu erfüllen. Im Nachdokumentationsformular gab X an, in keine (strafrechtlichen) Verfahren involviert bzw. in den letzten 10 Jahren involviert gewesen zu sein. Der eingereichte Strafregisterauszug war über sechs Monate alt und X war darin nicht verzeichnet. Auf Aufforderung der FINMA reichte X einen aktuellen Strafregisterauszug ein, in welchem ein Urteil u.a. wegen Schändung (Art 191 StGB ) verzeichnet war. Die FINMA kam zum Schluss, dass die Verurteilung von X aufgrund ihrer Schwere und der Verletzung besonders hochwertiger Rechtsgüter nicht mit der Versicherungsvermittlungstätigkeit vereinbar war und X unter Würdigung der Gesamtumstände über keinen guten Ruf verfügte und auch keine Gewähr für die Erfüllung der Pflichten nach dem VAG bot (Art. 41 Abs. 2 Bst. b VAG; Art. 187 Abs. 2 Bst. a AVO ). Nachdem X die Registrierungsvoraussetzungen gemäss Art. 41 VAG nicht erfüllte, verfügte die FINMA die Streichung von X aus dem Register.</w:t>
      </w:r>
    </w:p>
    <w:p>
      <w:r>
        <w:t>Massnahmen: Streichung aus dem Register über die Versicherungsvermittlerinnen und -vermittler (Art. 37 Abs. 1 FINMAG i.V.m. Art. 51 Abs. 2 Bst. g VAG )</w:t>
      </w:r>
    </w:p>
    <w:p>
      <w:r>
        <w:t>Rechtskraft: nicht rechtskräftig; Beschwerdeverfahren BVGer B-274/2025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