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FINMA 2024-18 vom 1. Januar 2024</w:t>
      </w:r>
    </w:p>
    <w:p>
      <w:r>
        <w:t>FINMA, 2024-01-01, DE</w:t>
      </w:r>
    </w:p>
    <w:p>
      <w:r>
        <w:rPr>
          <w:b/>
        </w:rPr>
        <w:t xml:space="preserve">Quelle: </w:t>
      </w:r>
      <w:r>
        <w:t>https://mcp.opencaselaw.ch/entscheid/finma_2024-18</w:t>
      </w:r>
    </w:p>
    <w:p>
      <w:r>
        <w:t>FR: FINMA 2024-18 du 1 janvier 2024</w:t>
      </w:r>
    </w:p>
    <w:p>
      <w:r>
        <w:t>IT: FINMA 2024-18 del 1 gennaio 2024</w:t>
      </w:r>
    </w:p>
    <w:p>
      <w:pPr>
        <w:pStyle w:val="Heading2"/>
      </w:pPr>
      <w:r>
        <w:t>Volltext</w:t>
      </w:r>
    </w:p>
    <w:p>
      <w:r>
        <w:t>Partei: Versicherungsvermittler X (natürliche Person)</w:t>
      </w:r>
    </w:p>
    <w:p>
      <w:r>
        <w:t>Bereich: Bewilligte</w:t>
      </w:r>
    </w:p>
    <w:p>
      <w:r>
        <w:t>Thema: andere</w:t>
      </w:r>
    </w:p>
    <w:p>
      <w:r>
        <w:t>Zusammenfassung: Die natürliche Person X ist seit 2017 im Register der FINMA für ungebundene Versicherungsvermittlerinnen und -vermittler eingetragen. Mit der am 1. Januar 2024 in Kraft getretenen Revision des Versicherungsaufsichtsrechts musste X im Rahmen der Nachdokumentation den Nachweis erbringen, die Registrierungsvoraussetzungen gemäss Art. 41 VAG zu erfüllen. Gemäss Art. 41 Abs. 3 Bst. a VAG werden Versicherungsvermittler, die wegen strafbaren Handlungen gegen das Vermögen nach Art. 137-172ter StGB im Strafregister eingetragen sind, nicht ins Versicherungsvermittlerregister eingetragen. Gemäss Strafregisterauszug war X wegen mehrfacher ungetreuer Geschäftsbesorgung gemäss Art. 158 Ziff. 1 Abs. 1 und 3 StGB sowie wegen unrechtmässigen Bezugs von Leistungen der Sozialversicherung oder der Sozialhilfe gemäss Art. 148a Abs. 1 StGB verurteilt worden. Die FINMA kam zum Schluss, dass im vorliegenden Fall negative Eintragungsvoraussetzungen gemäss Art. 41 Abs. 3 Bst. a VAG vorlagen und X damit die Registrierungsvoraussetzungen nach Art. 41 VAG nicht erfüllte, weshalb sie die Streichung des Eintrags von X aus dem Register verfügte.</w:t>
      </w:r>
    </w:p>
    <w:p>
      <w:r>
        <w:t>Massnahmen: Streichung des Eintrags aus dem Register über die Versicherungsvermittlerinnen und -vermittler (Art. 37 Abs. 1 FINMAG i.V.m. Art. 51 Abs. 2 Bst. g VAG )</w:t>
      </w:r>
    </w:p>
    <w:p>
      <w:r>
        <w:t>Rechtskraft: nicht rechtskräftig; Beschwerdeverfahren BVGer B-199/2025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