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 2023-23 vom 21. November 2023</w:t>
      </w:r>
    </w:p>
    <w:p>
      <w:r>
        <w:t>FINMA, 2023-11-21, DE</w:t>
      </w:r>
    </w:p>
    <w:p>
      <w:r>
        <w:rPr>
          <w:b/>
        </w:rPr>
        <w:t xml:space="preserve">Quelle: </w:t>
      </w:r>
      <w:r>
        <w:t>https://mcp.opencaselaw.ch/entscheid/finma_2023-23</w:t>
      </w:r>
    </w:p>
    <w:p>
      <w:r>
        <w:t>FR: FINMA 2023-23 du 21 novembre 2023</w:t>
      </w:r>
    </w:p>
    <w:p>
      <w:r>
        <w:t>IT: FINMA 2023-23 del 21 novembre 2023</w:t>
      </w:r>
    </w:p>
    <w:p>
      <w:pPr>
        <w:pStyle w:val="Heading2"/>
      </w:pPr>
      <w:r>
        <w:t>Volltext</w:t>
      </w:r>
    </w:p>
    <w:p>
      <w:r>
        <w:t>Partei: Natürliche Personen A, B und C; X AG</w:t>
      </w:r>
    </w:p>
    <w:p>
      <w:r>
        <w:t>Bereich: Unerlaubt tätige Finanzdienstleister</w:t>
      </w:r>
    </w:p>
    <w:p>
      <w:r>
        <w:t>Thema: Unerlaubte Effektenhändlertätigkeit</w:t>
      </w:r>
    </w:p>
    <w:p>
      <w:r>
        <w:t>Zusammenfassung: Die Gründer- bzw. Hauptaktionäre A, B und C verkauften von ihnen gehaltene Aktien der X. AG in Form von Durchlauftransaktionen zum in der Regel 100-fachen des Nennwerts an die dazwischengeschaltete X AG. Die X AG verkaufte die "eigenen" Aktien zeitgleich an die Kaufinteressenten weiter und erzielte so einen Erlös von rund CHF 12.6 Mio. Rund 62% der von der X AG vereinnahmten Aktienverkaufserlöse wurden für Aktieneinkäufe und Zahlungen an Vermittler aufgewendet. Dabei war C zugleich Alleinaktionär der mit Abstand bedeutendsten Vermittlerin. Zudem platzierten A, B und C einen Teil ihrer Aktien bei Dritten, indem sie Tauschgeschäfte abschlossen. Dabei veräusserten B und C weitere Aktien auch direkt durch den Abschluss von Kaufverträgen. Indem A, B und C unter Einsatz von Vermittlern über die dazwischengeschaltete X AG sowie auch direkt bei über hundert Personen Aktien platzierten, übten sie zusammen als Gruppe jahrelang eine Emissionshaustätigkeit aus, ohne über die erforderliche Bewilligung zu verfügen.</w:t>
      </w:r>
    </w:p>
    <w:p>
      <w:r>
        <w:t>Massnahmen: Liquidation der X AG (Art. 37 FINMAG i.V.m. Art. 66 FINIG ); Publikation von Unterlassungsanweisungen gegen A, B und C für die Dauer von fünf Jahren (Art. 34 FINMAG)</w:t>
      </w:r>
    </w:p>
    <w:p>
      <w:r>
        <w:t>Rechtskraft: Drei gegen die Verfügung erhobene Beschwerden wurden vom Bundesverwaltungsgericht abgewiesen; siehe Urteile BVGer B-344/2024, B-350/2024 und B-361/2024, alle vom 17.10.2024. Die Urteile des Bundesverwaltungsgerichts sind beim Bundesgericht angefochten worden. Die Beschwerden sind vom Bundesgericht abgewiesen worden (siehe Urteile BGer 2C_597/2024, BGer 2C_593/2024 und 2C_596/2024, alle vom 16.09.2025).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