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 2023-22 vom 14. November 2023</w:t>
      </w:r>
    </w:p>
    <w:p>
      <w:r>
        <w:t>FINMA, 2023-11-14, DE</w:t>
      </w:r>
    </w:p>
    <w:p>
      <w:r>
        <w:rPr>
          <w:b/>
        </w:rPr>
        <w:t xml:space="preserve">Quelle: </w:t>
      </w:r>
      <w:r>
        <w:t>https://mcp.opencaselaw.ch/entscheid/finma_2023-22</w:t>
      </w:r>
    </w:p>
    <w:p>
      <w:r>
        <w:t>FR: FINMA 2023-22 du 14 novembre 2023</w:t>
      </w:r>
    </w:p>
    <w:p>
      <w:r>
        <w:t>IT: FINMA 2023-22 del 14 novembre 2023</w:t>
      </w:r>
    </w:p>
    <w:p>
      <w:pPr>
        <w:pStyle w:val="Heading2"/>
      </w:pPr>
      <w:r>
        <w:t>Volltext</w:t>
      </w:r>
    </w:p>
    <w:p>
      <w:r>
        <w:t>Partei: X AG in Liquidation, natürliche Personen A, B und C</w:t>
      </w:r>
    </w:p>
    <w:p>
      <w:r>
        <w:t>Bereich: Unerlaubt tätige Finanzdienstleister</w:t>
      </w:r>
    </w:p>
    <w:p>
      <w:r>
        <w:t>Thema: Unerlaubte Entgegennahme von Publikumseinlagen</w:t>
      </w:r>
    </w:p>
    <w:p>
      <w:r>
        <w:t>Zusammenfassung: Die in der Schweiz domizilierte X AG hat über einen Zeitraum von über einem halben Jahr unter Einsatz von Vermittlern Anleihen ausgegeben und in die-sem Rahmen von mindestens 68 Personen mit Wohnsitz im Ausland Gelder im Umfang von insgesamt rund EUR 2,74 Mio. entgegengenommen. Die ausgegebenen Anleihen der X AG erfüllten jedoch die gesetzlichen Anforderungen an eine Anleihensobligation gemäss Art. 5 Abs. 3 Bst. b BankV nicht, da sie von den betroffenen Personen insbesondere nach Laufzeitbeginn und zu jeweils variierenden Daten gezeichnet wurden sowie die Liberie-rung der Anleihen fortlaufend über mehrere Monate hinweg erfolgte. Die FINMA stellte fest, dass die X AG gewerbsmässig Publikumseinlagen entgegengenommen hat, ohne über die dafür notwendige Bewilligung zu verfügen. Die natürlichen Personen A, B und C leisteten in ihrer jeweiligen Funktion einen massgeblichen Beitrag an der unerlaubten Tätigkeit und haben damit aufsichtsrechtliche Bestimmungen schwer verletzt.</w:t>
      </w:r>
    </w:p>
    <w:p>
      <w:r>
        <w:t>Massnahmen: Feststellung (Art. 32 FINMAG ); Publikation von Unterlassungsanweisungen gegen A und C für die Dauer von je drei Jahren (Art. 34 FINMAG) sowie Unterlassungsanweisung gegen B (ohne Publikation).</w:t>
      </w:r>
    </w:p>
    <w:p>
      <w:r>
        <w:t>Rechtskraft: nicht rechtskräftig; Beschwerdeverfahren BVGer B-214/2024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