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2020-22 vom 19. Juni 2020</w:t>
      </w:r>
    </w:p>
    <w:p>
      <w:r>
        <w:t>FINMA, 2020-06-19, DE</w:t>
      </w:r>
    </w:p>
    <w:p>
      <w:r>
        <w:rPr>
          <w:b/>
        </w:rPr>
        <w:t xml:space="preserve">Quelle: </w:t>
      </w:r>
      <w:r>
        <w:t>https://mcp.opencaselaw.ch/entscheid/finma_2020-22</w:t>
      </w:r>
    </w:p>
    <w:p>
      <w:r>
        <w:t>FR: FINMA 2020-22 du 19 juin 2020</w:t>
      </w:r>
    </w:p>
    <w:p>
      <w:r>
        <w:t>IT: FINMA 2020-22 del 19 giugno 2020</w:t>
      </w:r>
    </w:p>
    <w:p>
      <w:pPr>
        <w:pStyle w:val="Heading2"/>
      </w:pPr>
      <w:r>
        <w:t>Volltext</w:t>
      </w:r>
    </w:p>
    <w:p>
      <w:r>
        <w:t>Partei: X AG, natürliche Personen A und B</w:t>
      </w:r>
    </w:p>
    <w:p>
      <w:r>
        <w:t>Bereich: Unerlaubt tätige Finanzdienstleister</w:t>
      </w:r>
    </w:p>
    <w:p>
      <w:r>
        <w:t>Thema: andere</w:t>
      </w:r>
    </w:p>
    <w:p>
      <w:r>
        <w:t>Zusammenfassung: Die X AG und die natürliche Person A (Organ und Mehrheitsaktionärin der X AG) verkauften als Gruppe in eigenem Namen und auf eigene Rechnung über einen längeren Zeitraum mit Hilfe einer Webseite und eines Vertriebsnetzwerks als Effekten qualifizierte, von der Emittentin erworbene Blockchain-basierte Tokens an mehrere Tausend Anleger und nahmen damit Gelder in Millionenhöhe entgegen. Die FINMA stellte fest, dass die X AG und die natürliche Person A gemeinsam als Gruppe ohne Bewilligung gewerbsmässig den Effektenhandel betrieben und damit aufsichtsrechtliche Bestimmungen (Börsengesetz) schwer verletzt haben (Art. 10 Abs. 1 aBEHG i.V.m. Art. 3 Abs. 2 aBEHV). Als Folge davon wurde die X AG in Liquidation gesetzt. Da die Gesellschaft überschuldet war, erfolgte die Liquidation auf dem Weg des Konkurses. Darüber hinaus stellte die FINMA fest, dass die natürlichen Personen A und B (Organ und Minderheitsaktionärin) aufgrund ihres massgeblichen Beitrages an der unerlaubten Tätigkeit ebenfalls aufsichtsrechtliche Bestimmungen schwer verletzt haben.</w:t>
      </w:r>
    </w:p>
    <w:p>
      <w:r>
        <w:t>Massnahmen: Feststellung (Art. 32 FINMAG ); Liquidation und Konkurseröffnung der X AG (Art. 37 FINMAG i.V.m. Art. 33 Abs. 1 BankG i.V.m. Art. 67 Abs. 1 FINIG ); Unterlassungsanweisung gegen A und B und Publikation derselben für die Dauer von fünf bzw. drei Jahren (Art. 34 FINMAG).</w:t>
      </w:r>
    </w:p>
    <w:p>
      <w:r>
        <w:t>Rechtskraft: Eine gegen die Verfügung erhobene Beschwerde wurde vom Bundesverwaltungsgericht abgewiesen; siehe Urteil BVGer B-4185/2020 vom 16.01.2024 (rechtskräftig). (https://entscheidsuche.ch/dok/CH_BVGer/CH_BVGE_001_B-4185-2020_2024-01-16.pdf)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