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2019-16 vom 2. April 2019</w:t>
      </w:r>
    </w:p>
    <w:p>
      <w:r>
        <w:t>FINMA, 2019-04-02, DE</w:t>
      </w:r>
    </w:p>
    <w:p>
      <w:r>
        <w:rPr>
          <w:b/>
        </w:rPr>
        <w:t xml:space="preserve">Quelle: </w:t>
      </w:r>
      <w:r>
        <w:t>https://mcp.opencaselaw.ch/entscheid/finma_2019-16</w:t>
      </w:r>
    </w:p>
    <w:p>
      <w:r>
        <w:t>FR: FINMA 2019-16 du 2 avril 2019</w:t>
      </w:r>
    </w:p>
    <w:p>
      <w:r>
        <w:t>IT: FINMA 2019-16 del 2 aprile 2019</w:t>
      </w:r>
    </w:p>
    <w:p>
      <w:pPr>
        <w:pStyle w:val="Heading2"/>
      </w:pPr>
      <w:r>
        <w:t>Volltext</w:t>
      </w:r>
    </w:p>
    <w:p>
      <w:r>
        <w:t>Partei: X AG, natürliche Personen A und B</w:t>
      </w:r>
    </w:p>
    <w:p>
      <w:r>
        <w:t>Bereich: Unerlaubt tätige Finanzdienstleister</w:t>
      </w:r>
    </w:p>
    <w:p>
      <w:r>
        <w:t>Thema: Unerlaubte Entgegennahme von Publikumseinlagen</w:t>
      </w:r>
    </w:p>
    <w:p>
      <w:r>
        <w:t>Zusammenfassung: Die Schweizer Holdinggesellschaft X AG hat über einen Zeitraum von mehreren Jahren von mehreren hundert mehrheitlich im Ausland domizilierten Privatanlegern Gelder in der Höhe von umgerechnet mindestens CHF 30 Mio. über in- und ausländische Bankkonten entgegengenommen und gegenüber den Anlegern eine Rückzahlung derselben nach Ablauf der Vertragsdauer garantiert. Mit den entgegengenommenen Geldern finanzierte die X AG unter anderem verschiedene Bauprojekte im Ausland, deren operative Umsetzung mittels verschiedener ausländischer Tochtergesellschaften erfolgte. Des Weiteren verwendete sie die entgegengenommenen Neugelder für Zins- und Rückzahlungen an die Anleger sowie für nahestehende Personen, welche die Gelder teilweise auch für private Zwecke einsetzten. Die FINMA stellte fest, dass die X AG gewerbsmässig Publikumseinlagen entgegengenommen hatte, ohne über die dafür notwendige Bewilligung zu verfügen (Art. 1 Abs. 2 BankG ). Die während der bewilligungspflichtigen Tätigkeit tätigen Organe A und B leisteten in ihrer jeweiligen Funktion einen massgeblichen Beitrag in Bezug auf die unerlaubte Tätigkeit, womit sie aufsichtsrechtliche Bestimmungen ebenfalls schwer verletzten.</w:t>
      </w:r>
    </w:p>
    <w:p>
      <w:r>
        <w:t>Massnahmen: Feststellung (Art. 32 FINMAG ); Liquidation und Konkurseröffnung (Art. 37 FINMAG i. V. m. Art. 33 Abs. 1 BankG ); Publikation einer Unterlassungsanweisung gegen A und B für die Dauer von acht bzw. drei Jahren (Art. 34 FINMAG)</w:t>
      </w:r>
    </w:p>
    <w:p>
      <w:r>
        <w:t>Rechtskraft: Eine Beschwerde gegen die Verfügung wurde vom Bundesverwaltungsgericht abgewiesen, vgl. Urteil BVGer B-2511/2019 vom 29.01.2020 (rechtskräftig). Eine Beschwerde gegen die Verfügung wurde vom Bundesverwaltungsgericht abgewiesen, vgl. Urteil BVGer B-2512/2019 vom 29.01.2020. Eine gegen das Urteil des Bundesverwaltungsgerichts erhobene Beschwerde wurde vom Bundesgericht abgewiesen, vgl. Urteil BGer 2C_220/2020 vom 15.06.2020.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