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2019-12 vom 20. Dezember 2019</w:t>
      </w:r>
    </w:p>
    <w:p>
      <w:r>
        <w:t>FINMA, 2019-12-20, DE</w:t>
      </w:r>
    </w:p>
    <w:p>
      <w:r>
        <w:rPr>
          <w:b/>
        </w:rPr>
        <w:t xml:space="preserve">Quelle: </w:t>
      </w:r>
      <w:r>
        <w:t>https://mcp.opencaselaw.ch/entscheid/finma_2019-12</w:t>
      </w:r>
    </w:p>
    <w:p>
      <w:r>
        <w:t>FR: FINMA 2019-12 du 20 décembre 2019</w:t>
      </w:r>
    </w:p>
    <w:p>
      <w:r>
        <w:t>IT: FINMA 2019-12 del 20 dicembre 2019</w:t>
      </w:r>
    </w:p>
    <w:p>
      <w:pPr>
        <w:pStyle w:val="Heading2"/>
      </w:pPr>
      <w:r>
        <w:t>Volltext</w:t>
      </w:r>
    </w:p>
    <w:p>
      <w:r>
        <w:t>Partei: natürliche Person A</w:t>
      </w:r>
    </w:p>
    <w:p>
      <w:r>
        <w:t>Bereich: Marktaufsicht</w:t>
      </w:r>
    </w:p>
    <w:p>
      <w:r>
        <w:t>Thema: Berufsverbot/Tätigkeitsverbot, Einziehung</w:t>
      </w:r>
    </w:p>
    <w:p>
      <w:r>
        <w:t>Zusammenfassung: A war Mitglied der Geschäftsleitung bei der Bank X und verfügte über privilegierten Zugang zu Informationen, von denen er wusste oder wissen musste, dass es sich dabei um Insiderinformationen handelte. A nutzte diese Insiderinformationen, welche er auch Drittpersonen mitteilte, dazu aus, in Umgehung von bankinternen Weisungen über das Depot seiner Ehefrau in der Schweiz kotierte Titel zu erwerben und zu veräussern.</w:t>
      </w:r>
    </w:p>
    <w:p>
      <w:r>
        <w:t>Massnahmen: Berufsverbot für die Dauer von vier Jahren (Art. 33 FINMAG ); Tätigkeitsverbot für die Dauer von sechs Jahren (Art. 35 a BEHG ); Einziehung im Umfang von rund CHF 730'000.- (Art. 35 FINMAG).</w:t>
      </w:r>
    </w:p>
    <w:p>
      <w:r>
        <w:t>Rechtskraft: Eine Beschwerde gegen die Verfügung wurde vom Bundesverwaltungsgericht teilweise gutgeheissen, vgl. Urteil BVGer B-664/2020 vom 04.07.2022.</w:t>
      </w:r>
    </w:p>
    <w:p>
      <w:r>
        <w:t>Kommunikation: Medienmitteilung der FINMA vom 24.1.2020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