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2019-10 vom 25. Oktober 2019</w:t>
      </w:r>
    </w:p>
    <w:p>
      <w:r>
        <w:t>FINMA, 2019-10-25, FR</w:t>
      </w:r>
    </w:p>
    <w:p>
      <w:r>
        <w:rPr>
          <w:b/>
        </w:rPr>
        <w:t xml:space="preserve">Quelle: </w:t>
      </w:r>
      <w:r>
        <w:t>https://mcp.opencaselaw.ch/entscheid/finma_2019-10</w:t>
      </w:r>
    </w:p>
    <w:p>
      <w:r>
        <w:t>FR: FINMA 2019-10 du 25 octobre 2019</w:t>
      </w:r>
    </w:p>
    <w:p>
      <w:r>
        <w:t>IT: FINMA 2019-10 del 25 ottobre 2019</w:t>
      </w:r>
    </w:p>
    <w:p>
      <w:pPr>
        <w:pStyle w:val="Heading2"/>
      </w:pPr>
      <w:r>
        <w:t>Volltext</w:t>
      </w:r>
    </w:p>
    <w:p>
      <w:r>
        <w:t>Partei: IFDS X SA</w:t>
      </w:r>
    </w:p>
    <w:p>
      <w:r>
        <w:t>Bereich: Bewilligte</w:t>
      </w:r>
    </w:p>
    <w:p>
      <w:r>
        <w:t>Thema: Verletzung von geldwäschereirechtlichen Pflichten</w:t>
      </w:r>
    </w:p>
    <w:p>
      <w:r>
        <w:t>Zusammenfassung: Alors que les rapports du réviseur externe LBA relatifs aux derniers exercices ne contenaient aucune irrégularité, il est apparu lors d'une Supervisory Review (SR) que X SA présentait d'importantes lacunes en matière d'obligations de diligence. L'échantillonnage de plusieurs dossiers, dans le cadre de la procédure diligentée suite à la SR a confirmé la persistance de plusieurs erreurs de classification LBA ou non LBA des clients. Il est également apparu que, de manière générale, X SA ne respectait pas ses obligations de diligence, en violation des art. 2 al. 3, 4 et 6 ss LBA.</w:t>
      </w:r>
    </w:p>
    <w:p>
      <w:r>
        <w:t>Massnahmen: Avertissement (art. 31 LFINMA en lien avec les art. 37 LFINMA et 20 LBA), changement de société d'audit LBA (art. 28 a al. 2 LFINMA), mesures en rétablissement de l'ordre légal (art. 31 LFINMA).</w:t>
      </w:r>
    </w:p>
    <w:p>
      <w:r>
        <w:t>Rechtskraft: Un recours contre la décision a été rejeté par le Tribunal administratif fédéral, cf. arrêt du TAF B-6421/2019 du 19.05.2020 (entrée en force).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