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2019-01 vom 15. Februar 2019</w:t>
      </w:r>
    </w:p>
    <w:p>
      <w:r>
        <w:t>FINMA, 2019-02-15, DE</w:t>
      </w:r>
    </w:p>
    <w:p>
      <w:r>
        <w:rPr>
          <w:b/>
        </w:rPr>
        <w:t xml:space="preserve">Quelle: </w:t>
      </w:r>
      <w:r>
        <w:t>https://mcp.opencaselaw.ch/entscheid/finma_2019-01</w:t>
      </w:r>
    </w:p>
    <w:p>
      <w:r>
        <w:t>FR: FINMA 2019-01 du 15 février 2019</w:t>
      </w:r>
    </w:p>
    <w:p>
      <w:r>
        <w:t>IT: FINMA 2019-01 del 15 febbraio 2019</w:t>
      </w:r>
    </w:p>
    <w:p>
      <w:pPr>
        <w:pStyle w:val="Heading2"/>
      </w:pPr>
      <w:r>
        <w:t>Volltext</w:t>
      </w:r>
    </w:p>
    <w:p>
      <w:r>
        <w:t>Partei: A (Mitglied der Geschäftsleitung der Bank X)</w:t>
      </w:r>
    </w:p>
    <w:p>
      <w:r>
        <w:t>Bereich: Bewilligte</w:t>
      </w:r>
    </w:p>
    <w:p>
      <w:r>
        <w:t>Thema: Verletzung von geldwäschereirechtlichen Pflichten, Berufsverbot/Tätigkeitsverbot, Einziehung</w:t>
      </w:r>
    </w:p>
    <w:p>
      <w:r>
        <w:t>Zusammenfassung: Über Konten bei der Bank X wurden über einen langen Zeitraum hinweg Gelder in beträchtlichen Summen transferiert, welche mit deutlichen Korruptions- bzw. Geldwäschereirisiken behaftet waren. Trotz erheblicher Warnzeichen wurden zahlreiche Transaktionen in diesem Zusammenhang ausgeführt und keine Meldung an die Behörden erstattet. Obwohl A als CEO und oberster Entscheidträger direkt in die Transaktionen involviert war und Kenntnis über die Verdachtsmomente hatte, intervenierte er nicht dagegen, sondern setzte sich vielmehr für deren reibungslose Abwicklung ein. A war zudem auch die treibende Kraft dafür, dass die Bank X in Kooperation mit einem Kunden zahlreiche Transaktionen über ihr Nostrokonto abwickelte. Da die Bank X aber den ökonomischen Hintergrund dieser Transaktionen nicht ausreichend verstand, ging sie damit erhebliche, reputationelle und finanzielle Risiken ein. Darüber hinaus begab sich A auch in einen erheblichen Interessenkonflikt mit Bezug auf den betroffenen Kunden. Die FINMA kam daher insgesamt zum Schluss, dass A massgeblich verantwortlich war, dass die Bank X in wiederholten Fällen und über Jahre in schwerwiegender Weise gegen ihre bankengesetzliche Organisations- und Risikomanagementpflicht (Art. 3 Abs. 2 Bst. a und Art. 3 f Abs. 2 BankG ) sowie ihre Sorgfaltspflichten zum Schutz vor Geldwäscherei (Art. 3 ff. GwG ) verstossen hat. Als CEO und Gewährsträger der Bank X hat A damit auch die aufsichtsrechtlichen Anforderungen an die Gewähr für eine einwandfreie Geschäftstätigkeit (Art. 3 Abs. 2 Bst. c und Art. 3 f Abs. 1 BankG) schwer verletzt.</w:t>
      </w:r>
    </w:p>
    <w:p>
      <w:r>
        <w:t>Massnahmen: Berufsverbot für die Dauer von 5 Jahren (Art. 33 FINMAG ), Einziehung in der Höhe von rund CHF 613'000.- (Art. 35 FINMAG)</w:t>
      </w:r>
    </w:p>
    <w:p>
      <w:r>
        <w:t>Rechtskraft: Eine gegen die Verfügung erhobene Beschwerde wurde vom Bundesverwaltungsgericht teilwese gutgeheissen, vgl. Urteil BVGer B-1576/2019  vom 29.11.2021 (rechtskräftig).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