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2018-12 vom 5. Oktober 2018</w:t>
      </w:r>
    </w:p>
    <w:p>
      <w:r>
        <w:t>FINMA, 2018-10-05, FR</w:t>
      </w:r>
    </w:p>
    <w:p>
      <w:r>
        <w:rPr>
          <w:b/>
        </w:rPr>
        <w:t xml:space="preserve">Quelle: </w:t>
      </w:r>
      <w:r>
        <w:t>https://mcp.opencaselaw.ch/entscheid/finma_2018-12</w:t>
      </w:r>
    </w:p>
    <w:p>
      <w:r>
        <w:t>FR: FINMA 2018-12 du 5 octobre 2018</w:t>
      </w:r>
    </w:p>
    <w:p>
      <w:r>
        <w:t>IT: FINMA 2018-12 del 5 ottobre 2018</w:t>
      </w:r>
    </w:p>
    <w:p>
      <w:pPr>
        <w:pStyle w:val="Heading2"/>
      </w:pPr>
      <w:r>
        <w:t>Volltext</w:t>
      </w:r>
    </w:p>
    <w:p>
      <w:r>
        <w:t>Partei: Personne physique A</w:t>
      </w:r>
    </w:p>
    <w:p>
      <w:r>
        <w:t>Bereich: Bewilligte</w:t>
      </w:r>
    </w:p>
    <w:p>
      <w:r>
        <w:t>Thema: Berufsverbot/Tätigkeitsverbot</w:t>
      </w:r>
    </w:p>
    <w:p>
      <w:r>
        <w:t>Zusammenfassung: Directeur général, administrateur et actionnaire indirect qualifié de gestionnaire de placements collectifs X SA, A a activement pris part à la mise en place d’une structure de fonds de placement dédiés qui prévoyaient la perception de frais de gestion jugés disproportionnés par rapport à l’activité de gestion effectivement réalisée par la société précitée. Ce faisant, A a amené X SA à violer son devoir de loyauté aux dépens des investisseurs (art. 20 al. 1 let. a LPCC). Personnellement responsable de cette violation du droit de la surveillance, interdiction a été faite à A d’exercer une fonction dirigeante auprès d’une société assujettie à la FINMA durant une période de trois ans dès l’entrée en force de la décision.</w:t>
      </w:r>
    </w:p>
    <w:p>
      <w:r>
        <w:t>Massnahmen: Interdiction d’exercer pour une durée de trois ans (art. 33 LFINMA).</w:t>
      </w:r>
    </w:p>
    <w:p>
      <w:r>
        <w:t>Rechtskraft: Un recours contre la décision a été rejeté par le Tribunal administratif fédéral, cf. arrêt du TAF B-6370/2018 du 28.04.2020 (entrée en force).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