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2017-17 vom 2. Februar 2017</w:t>
      </w:r>
    </w:p>
    <w:p>
      <w:r>
        <w:t>FINMA, 2017-02-02, DE</w:t>
      </w:r>
    </w:p>
    <w:p>
      <w:r>
        <w:rPr>
          <w:b/>
        </w:rPr>
        <w:t xml:space="preserve">Quelle: </w:t>
      </w:r>
      <w:r>
        <w:t>https://mcp.opencaselaw.ch/entscheid/finma_2017-17</w:t>
      </w:r>
    </w:p>
    <w:p>
      <w:r>
        <w:t>FR: FINMA 2017-17 du 2 février 2017</w:t>
      </w:r>
    </w:p>
    <w:p>
      <w:r>
        <w:t>IT: FINMA 2017-17 del 2 febbraio 2017</w:t>
      </w:r>
    </w:p>
    <w:p>
      <w:pPr>
        <w:pStyle w:val="Heading2"/>
      </w:pPr>
      <w:r>
        <w:t>Volltext</w:t>
      </w:r>
    </w:p>
    <w:p>
      <w:r>
        <w:t>Bereich: Unerlaubt tätige Finanzdienstleister</w:t>
      </w:r>
    </w:p>
    <w:p>
      <w:r>
        <w:t>Thema: Unerlaubte Entgegennahme von Publikumseinlagen, Unerlaubte Effektenhändlertätigkeit</w:t>
      </w:r>
    </w:p>
    <w:p>
      <w:r>
        <w:t>Zusammenfassung: Die X Genossenschaft und die Y AG nahmen von über 500 Personen Darlehen in einem Gesamtbetrag in Millionenhöhe entgegen. Die X Genossenschaft, die Y AG sowie die Z AG bewarben diese Tätigkeit über ihre Internetauftritte und mittels E-Mail-Versand. Der Ausnahmetatbestand betreffend Einlagen bei Genossenschaften gemäss Art. 5 Abs. 3 Bst. f BankV war aufgrund der Tätigkeit im Finanzbereich nicht gegeben. Folglich lag eine unerlaubte Entgegennahme von Publikumseinlagen vor. Darüber hinaus bot die Y AG über E-Mails Aktien einer noch zu gründenden AG zum Kauf an. Der Verkauf dieser Aktien war die hauptsächliche Geschäftstätigkeit der Y AG. Damit übte sie eine unerlaubte Emissionshaustätigkeit ohne Bewilligung (Art. 10 BEHG ) aus. Die Z AG unterstützte die Tätigkeiten der X Genossenschaft und Y AG und finanzierte sich im Wesentlichen über die durch die X Genossenschaft sowie der Y AG entgegengenommenen Gelder. Die engen wirtschaftlichen, organisatorischen und personellen Verflechtungen liessen die Parteien als Gruppe erscheinen. Für die Ausübung der unterstellungspflichtigen Tätigkeiten waren A, B, C und D als Mitglieder der Verwaltung der X Genossenschaft verantwortlich. A war zudem alleiniger Verwaltungsrat bei der Y AG und der Z AG. Über die X Genossenschaft, die Y AG sowie die Z AG wurde noch vor Abschluss des aufsichtsrechtlichen Verfahrens seitens des zivilen Konkursgerichts der Konkurs eröffnet.</w:t>
      </w:r>
    </w:p>
    <w:p>
      <w:r>
        <w:t>Massnahmen: Feststellung (Art. 32 FINMAG ); Unterlassungsanweisung gegen B, C und D ohne Publikation sowie gegen A mit Publikation für die Dauer von fünf Jahren (Art. 34 FINMAG)</w:t>
      </w:r>
    </w:p>
    <w:p>
      <w:r>
        <w:t>Rechtskraft: Eine Beschwerde gegen die Verfügung wurde vom Bundesverwaltungsgericht teilweise gutgeheissen, vgl. Urteil BVGer B-1568/2017 vom 23.7.2018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