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2016-28 vom 15. Dezember 2016</w:t>
      </w:r>
    </w:p>
    <w:p>
      <w:r>
        <w:t>FINMA, 2016-12-15, DE</w:t>
      </w:r>
    </w:p>
    <w:p>
      <w:r>
        <w:rPr>
          <w:b/>
        </w:rPr>
        <w:t xml:space="preserve">Quelle: </w:t>
      </w:r>
      <w:r>
        <w:t>https://mcp.opencaselaw.ch/entscheid/finma_2016-28</w:t>
      </w:r>
    </w:p>
    <w:p>
      <w:r>
        <w:t>FR: FINMA 2016-28 du 15 décembre 2016</w:t>
      </w:r>
    </w:p>
    <w:p>
      <w:r>
        <w:t>IT: FINMA 2016-28 del 15 dicembre 2016</w:t>
      </w:r>
    </w:p>
    <w:p>
      <w:pPr>
        <w:pStyle w:val="Heading2"/>
      </w:pPr>
      <w:r>
        <w:t>Volltext</w:t>
      </w:r>
    </w:p>
    <w:p>
      <w:r>
        <w:t>Partei: X AG, Y AG, natürliche Personen A und B</w:t>
      </w:r>
    </w:p>
    <w:p>
      <w:r>
        <w:t>Bereich: Unerlaubt tätige Finanzdienstleister</w:t>
      </w:r>
    </w:p>
    <w:p>
      <w:r>
        <w:t>Thema: Unerlaubte Effektenhändlertätigkeit</w:t>
      </w:r>
    </w:p>
    <w:p>
      <w:r>
        <w:t>Zusammenfassung: Die X AG verkaufte in eigenem Namen und unter Einsatz von Vermittlern Aktien ihrer Tochtergesellschaft Y AG und nahm auf diese Weise einen Gesamtbetrag in Millionenhöhe ein. Der Aktienverkauf stellte neben dem Halten der Beteiligung an der Y AG die einzige feststellbare Geschäftstätigkeit der X AG dar und war darauf ausgerichtet, regelmässige Erträge zu erzielen. Entgegen dem gegenüber den Investoren kommunizierten Investitionszweck flossen die Gelder von der X AG an die Y AG und von dort teilweise an eine weitere Tochtergesellschaft oder an die Organe A und B der Gesellschaften, welche die Gelder zur Deckung ihrer privaten Auslagen und Spesen verwendeten. Enge wirtschaftliche, organisatorische und personelle Verflechtungen liessen die X AG und die Y AG als eine Gruppe erscheinen. Diese übte eine Emissionshaustätigkeit aus, ohne über die nach Art. 10 BEHG erforderliche Bewilligung zu verfügen. Die FINMA stellte folglich fest, dass die X AG und Y AG als Gruppe ohne Bewilligung den Effektenhandel betrieben hatten (Art. 10 BEHG). A und B leisteten massgebliche Beiträge an die unerlaubte Tätigkeit.</w:t>
      </w:r>
    </w:p>
    <w:p>
      <w:r>
        <w:t>Massnahmen: Feststellung (Art. 32 FINMAG ); Liquidation und Konkurseröffnung der X AG und der Y AG (Art. 37 FINMAG i.V.m. Art. 33 Abs. 1 BankG und Art. 36a BEHG ); Unterlassungsanweisung gegen A und B und Publikation derselben für die Dauer von 4 Jahren respektive von 2 Jahren (Art. 34 FINMAG).</w:t>
      </w:r>
    </w:p>
    <w:p>
      <w:r>
        <w:t>Rechtskraft: Eine gegen die Verfügung erhobene Beschwerde wurde vom Bundesverwaltungsgericht abgewiesen, vgl. BVGer B-7892/2016 vom 7.5.2019. Auf eine gegen das Urteil des Bundesverwaltungsgerichts erhobene Beschwerde ist das Bundesgericht nicht eingetreten, vgl. Urteil BGer 2C_558/2019 vom 26.05.2020.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