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2016-16 vom 19. Februar 2016</w:t>
      </w:r>
    </w:p>
    <w:p>
      <w:r>
        <w:t>FINMA, 2016-02-19, DE</w:t>
      </w:r>
    </w:p>
    <w:p>
      <w:r>
        <w:rPr>
          <w:b/>
        </w:rPr>
        <w:t xml:space="preserve">Quelle: </w:t>
      </w:r>
      <w:r>
        <w:t>https://mcp.opencaselaw.ch/entscheid/finma_2016-16</w:t>
      </w:r>
    </w:p>
    <w:p>
      <w:r>
        <w:t>FR: FINMA 2016-16 du 19 février 2016</w:t>
      </w:r>
    </w:p>
    <w:p>
      <w:r>
        <w:t>IT: FINMA 2016-16 del 19 febbraio 2016</w:t>
      </w:r>
    </w:p>
    <w:p>
      <w:pPr>
        <w:pStyle w:val="Heading2"/>
      </w:pPr>
      <w:r>
        <w:t>Volltext</w:t>
      </w:r>
    </w:p>
    <w:p>
      <w:r>
        <w:t>Partei: X AG in Liquidation, Y AG, Z AG, natürliche Personen A, B und C</w:t>
      </w:r>
    </w:p>
    <w:p>
      <w:r>
        <w:t>Bereich: Unerlaubt tätige Finanzdienstleister</w:t>
      </w:r>
    </w:p>
    <w:p>
      <w:r>
        <w:t>Thema: Unerlaubte Effektenhändlertätigkeit</w:t>
      </w:r>
    </w:p>
    <w:p>
      <w:r>
        <w:t>Zusammenfassung: Die X AG in Liquidation sowie die Y AG (nachfolgend zusammen X-Gruppe) berieten operative Gesellschaften hinsichtlich einer Börsenkotierung oder anderweitigen Finanzierung. Als Gegenleistung übertrugen die beratenen Firmen der X-Gruppe eigene Aktien an Zahlungs statt. Die X-Gruppe vertrieb diese über Vermittler an rund 200 Anleger, woraus ein Bruttoerlös in Millionenhöhe resultierte. Damit haben die X AG in Liquidation sowie die Y AG zusammen als Gruppe den Effektenhandel (Emissionshaus) betrieben (Art. 2 BEHG sowie Art. 3 Abs. 2 BEHV), ohne über die dafür notwendige Bewilligung zu verfügen (Art. 10 BEHG). Sie haben dadurch aufsichtsrechtliche Bestimmungen schwer verletzt. A, B und C leisteten einen massgeblichen Beitrag an die unbewilligte Tätigkeit.</w:t>
      </w:r>
    </w:p>
    <w:p>
      <w:r>
        <w:t>Massnahmen: Feststellung (Art. 32 FINMAG ); Liquidation (Art. 37 FINMAG i.V.m. Art. 36 BEHG ); Unterlassungsanweisungen gegen B und C ohne Publikation und gegen A mit Publikation für die Dauer von 2 Jahren (Art. 34 FINMAG); Verfahrenseinstellung gegenüber der Z AG.</w:t>
      </w:r>
    </w:p>
    <w:p>
      <w:r>
        <w:t>Rechtskraft: Eine gegen die Verfügung erhobene Beschwerde wurde vom Bundesverwaltungsgericht teilweise gutgeheissen, vgl. Urteil BVGer B-2188/2016 vom 4.12.2017 (rechtskräftig).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