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2016-08 vom 8. Juli 2016</w:t>
      </w:r>
    </w:p>
    <w:p>
      <w:r>
        <w:t>FINMA, 2016-07-08, IT</w:t>
      </w:r>
    </w:p>
    <w:p>
      <w:r>
        <w:rPr>
          <w:b/>
        </w:rPr>
        <w:t xml:space="preserve">Quelle: </w:t>
      </w:r>
      <w:r>
        <w:t>https://mcp.opencaselaw.ch/entscheid/finma_2016-08</w:t>
      </w:r>
    </w:p>
    <w:p>
      <w:r>
        <w:t>FR: FINMA 2016-08 du 8 juillet 2016</w:t>
      </w:r>
    </w:p>
    <w:p>
      <w:r>
        <w:t>IT: FINMA 2016-08 del 8 luglio 2016</w:t>
      </w:r>
    </w:p>
    <w:p>
      <w:pPr>
        <w:pStyle w:val="Heading2"/>
      </w:pPr>
      <w:r>
        <w:t>Volltext</w:t>
      </w:r>
    </w:p>
    <w:p>
      <w:r>
        <w:t>Partei: B (administrateur d’une banque)</w:t>
      </w:r>
    </w:p>
    <w:p>
      <w:r>
        <w:t>Bereich: Bewilligte</w:t>
      </w:r>
    </w:p>
    <w:p>
      <w:r>
        <w:t>Thema: Berufsverbot/Tätigkeitsverbot</w:t>
      </w:r>
    </w:p>
    <w:p>
      <w:r>
        <w:t>Zusammenfassung: B, ancien administrateur de la banque X, a eu accès à des informations privilégiées pouvant notamment avoir des répercussions importantes sur la situation financière de la banque. B n’a transmis l’intégralité desdites informations à la banque X que tardivement, empêchant cet établissement de mener une gestion des risques efficace (art. 3 al. 2 let. a LB) et, par la même occasion, de se conformer à son devoir d’annonce (art. 29 al. 2 LFINMA). Ce comportement individuel n’est pas compatible avec l’exigence de la garantie d’une activité irréprochable (art. 3 al. 2 let. c LB et 10 al. 2 let. d LBVM).</w:t>
      </w:r>
    </w:p>
    <w:p>
      <w:r>
        <w:t>Massnahmen: Interdiction d’exercer une fonction dirigeante pour une durée de 5 ans (art. 33 LFINMA).</w:t>
      </w:r>
    </w:p>
    <w:p>
      <w:r>
        <w:t>Rechtskraft: Le Tribunal administratif fédéral a rejeté le recours interjeté contre la décision, cf. arrêt du TAF 5518/2016 du 10.7.2019 (fait l’objet d’un recours, procédure du TF 2C_771/2019).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