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2015-22 vom 18. Dezember 2015</w:t>
      </w:r>
    </w:p>
    <w:p>
      <w:r>
        <w:t>FINMA, 2015-12-18, DE</w:t>
      </w:r>
    </w:p>
    <w:p>
      <w:r>
        <w:rPr>
          <w:b/>
        </w:rPr>
        <w:t xml:space="preserve">Quelle: </w:t>
      </w:r>
      <w:r>
        <w:t>https://mcp.opencaselaw.ch/entscheid/finma_2015-22</w:t>
      </w:r>
    </w:p>
    <w:p>
      <w:r>
        <w:t>FR: FINMA 2015-22 du 18 décembre 2015</w:t>
      </w:r>
    </w:p>
    <w:p>
      <w:r>
        <w:t>IT: FINMA 2015-22 del 18 dicembre 2015</w:t>
      </w:r>
    </w:p>
    <w:p>
      <w:pPr>
        <w:pStyle w:val="Heading2"/>
      </w:pPr>
      <w:r>
        <w:t>Volltext</w:t>
      </w:r>
    </w:p>
    <w:p>
      <w:r>
        <w:t>Partei: Mitarbeiter A bei der Bank X</w:t>
      </w:r>
    </w:p>
    <w:p>
      <w:r>
        <w:t>Bereich: Marktaufsicht</w:t>
      </w:r>
    </w:p>
    <w:p>
      <w:r>
        <w:t>Thema: Berufsverbot/Tätigkeitsverbot</w:t>
      </w:r>
    </w:p>
    <w:p>
      <w:r>
        <w:t>Zusammenfassung: Mitarbeiter A war bei der Bank X für strukturierte Produkte im Bereich Devisen tätig. Mit Verfügung gegen die Bank (siehe Fall 29-2014 ) hatte die FINMA im Jahr 2014 unter anderem festgestellt, dass Mitarbeiter auf Devisentransaktionen, die in Zusammenhang mit einem bankinternen Produkt erfolgten, exzessiv und treuwidrig Mark-ups (Aufschläge auf den Einstandspreisen) erhoben. Die Anleger hatten von den Markups keine Kenntnis und brauchten vernünftigerweise nicht mit diesen zu rechnen. Indem Mitarbeiter A zulasten der Anleger selber Mark-ups erhob und dasselbe Verhalten durch andere Mitarbeiter zuliess, war er im Sinne von Art. 33 FINMAG für die schwere Verletzung des Gewährserfordernisses (Art. 3 Abs. 2 Bst. c BankG sowie Art. 3f BankG) durch die Bank X verantwortlich.</w:t>
      </w:r>
    </w:p>
    <w:p>
      <w:r>
        <w:t>Massnahmen: Berufsverbot für die Dauer von 6 Monaten (Art. 33 FINMAG ).</w:t>
      </w:r>
    </w:p>
    <w:p>
      <w:r>
        <w:t>Rechtskraft: Eine gegen die Verfügung erhobene Beschwerde wurde vom Bundesverwaltungsgericht gutgeheissen, vgl. Urteil BVGer B-642/2016 vom 11.6.2018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