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2015-14 vom 18. Dezember 2015</w:t>
      </w:r>
    </w:p>
    <w:p>
      <w:r>
        <w:t>FINMA, 2015-12-18, FR</w:t>
      </w:r>
    </w:p>
    <w:p>
      <w:r>
        <w:rPr>
          <w:b/>
        </w:rPr>
        <w:t xml:space="preserve">Quelle: </w:t>
      </w:r>
      <w:r>
        <w:t>https://mcp.opencaselaw.ch/entscheid/finma_2015-14</w:t>
      </w:r>
    </w:p>
    <w:p>
      <w:r>
        <w:t>FR: FINMA 2015-14 du 18 décembre 2015</w:t>
      </w:r>
    </w:p>
    <w:p>
      <w:r>
        <w:t>IT: FINMA 2015-14 del 18 dicembre 2015</w:t>
      </w:r>
    </w:p>
    <w:p>
      <w:pPr>
        <w:pStyle w:val="Heading2"/>
      </w:pPr>
      <w:r>
        <w:t>Volltext</w:t>
      </w:r>
    </w:p>
    <w:p>
      <w:r>
        <w:t>Partei: Banque X</w:t>
      </w:r>
    </w:p>
    <w:p>
      <w:r>
        <w:t>Bereich: Bewilligte</w:t>
      </w:r>
    </w:p>
    <w:p>
      <w:r>
        <w:t>Thema: andere</w:t>
      </w:r>
    </w:p>
    <w:p>
      <w:r>
        <w:t>Zusammenfassung: La banque X a conclu de nombreux contrats de crédits avec la cliente Y en vue de l’investir dans des parts de fonds de placement qui se sont révélées par la suite sans valeur. De ce fait, Y était dans l’impossibilité de rembourser le crédit à la banque X comme exigé par celle-ci. La banque X a alors décidé d’accepter le remboursement de la dette de Y moyennant transfert en sa faveur des parts de fonds de placement susmentionnées. Il est apparu à la publication des comptes semestriels et annuels que la banque X n’a pas respecté les règles comptables exigées dans une telle situation. Ce faisant, la banque X a violé le droit de la surveillance en matière d’organisation, de gestion des risques et de prescriptions comptables.</w:t>
      </w:r>
    </w:p>
    <w:p>
      <w:r>
        <w:t>Massnahmen: Décision en constatation (art. 32 LFINMA) ; ordre de rétablir l’ordre légal (art. 31 LFINMA).</w:t>
      </w:r>
    </w:p>
    <w:p>
      <w:r>
        <w:t>Rechtskraft: Un recours contre la décision a été partiellement admis par le Tribunal administratif fédéral, cf. arrêt du TAF B-645/2016 du 17.9.2018 (entré en force)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