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2015-13 vom 18. September 2015</w:t>
      </w:r>
    </w:p>
    <w:p>
      <w:r>
        <w:t>FINMA, 2015-09-18, DE</w:t>
      </w:r>
    </w:p>
    <w:p>
      <w:r>
        <w:rPr>
          <w:b/>
        </w:rPr>
        <w:t xml:space="preserve">Quelle: </w:t>
      </w:r>
      <w:r>
        <w:t>https://mcp.opencaselaw.ch/entscheid/finma_2015-13</w:t>
      </w:r>
    </w:p>
    <w:p>
      <w:r>
        <w:t>FR: FINMA 2015-13 du 18 septembre 2015</w:t>
      </w:r>
    </w:p>
    <w:p>
      <w:r>
        <w:t>IT: FINMA 2015-13 del 18 settembre 2015</w:t>
      </w:r>
    </w:p>
    <w:p>
      <w:pPr>
        <w:pStyle w:val="Heading2"/>
      </w:pPr>
      <w:r>
        <w:t>Volltext</w:t>
      </w:r>
    </w:p>
    <w:p>
      <w:r>
        <w:t>Partei: A (Mitarbeiter im obersten Kader einer Bank)</w:t>
      </w:r>
    </w:p>
    <w:p>
      <w:r>
        <w:t>Bereich: Bewilligte</w:t>
      </w:r>
    </w:p>
    <w:p>
      <w:r>
        <w:t>Thema: andere</w:t>
      </w:r>
    </w:p>
    <w:p>
      <w:r>
        <w:t>Zusammenfassung: Die FINMA ordnete mit Verfügung vom 04.07.2014 (siehe Fall 10-2014 ) u.a. an, dass Unterlagen und Informationen aus dem Verfahren nur mit vorgängiger Zustimmung der FINMA Dritten herausgegeben oder zugänglich gemacht werden dürfen (Zustimmungserfordernis). Das angehobene Beschwerdeverfahren B-5041/2014 wurde aufgrund der Rechtshängigkeit derselben Rechtsfrage in einem anderen Verfahren vor Bundesgericht diesbezüglich sistiert. Das Bundesgericht kam zum Schluss, dass die FINMA zu jenem Zeitpunkt über keine ausreichende formell-gesetzliche Grundlage zur Anordnung eines Zustimmungserfordernisses verfügte, auf die sie sich beim Erlass eines Zustimmungserfordernisses hätte abstützen können (Urteil 2C_1058/2014 vom 28.8.2015). Vor diesem Hintergrund und zufolge der Noch-nicht-Inkraftsetzung der neuen Bestimmung von Art. 42c Abs. 5 FINMAG zog die FINMA ihre Verfügung vom 4.7.2014 beschränkt auf das Zustimmungserfordernis in Wiedererwägung.</w:t>
      </w:r>
    </w:p>
    <w:p>
      <w:r>
        <w:t>Massnahmen: Aufhebung der Anordnung eines Zustimmungserfordernisses gegenüber A (teilweise Wiedererwägung).</w:t>
      </w:r>
    </w:p>
    <w:p>
      <w:r>
        <w:t>Rechtskraft: Die Wiedererwägungsverfügung wurde nicht angefochten und ist rechtskräftig.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