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2014-39 vom 6. Juni 2014</w:t>
      </w:r>
    </w:p>
    <w:p>
      <w:r>
        <w:t>FINMA, 2014-06-06, DE</w:t>
      </w:r>
    </w:p>
    <w:p>
      <w:r>
        <w:rPr>
          <w:b/>
        </w:rPr>
        <w:t xml:space="preserve">Quelle: </w:t>
      </w:r>
      <w:r>
        <w:t>https://mcp.opencaselaw.ch/entscheid/finma_2014-39</w:t>
      </w:r>
    </w:p>
    <w:p>
      <w:r>
        <w:t>FR: FINMA 2014-39 du 6 juin 2014</w:t>
      </w:r>
    </w:p>
    <w:p>
      <w:r>
        <w:t>IT: FINMA 2014-39 del 6 giugno 2014</w:t>
      </w:r>
    </w:p>
    <w:p>
      <w:pPr>
        <w:pStyle w:val="Heading2"/>
      </w:pPr>
      <w:r>
        <w:t>Volltext</w:t>
      </w:r>
    </w:p>
    <w:p>
      <w:r>
        <w:t>Partei: X GmbH und im Ausland domizilierte Zweigniederlassungen XA, XB und XC, natürliche Person A</w:t>
      </w:r>
    </w:p>
    <w:p>
      <w:r>
        <w:t>Bereich: Unerlaubt tätige Finanzdienstleister</w:t>
      </w:r>
    </w:p>
    <w:p>
      <w:r>
        <w:t>Thema: Unerlaubte Entgegennahme von Publikumseinlagen</w:t>
      </w:r>
    </w:p>
    <w:p>
      <w:r>
        <w:t>Zusammenfassung: Die X GmbH und ihre ausländischen Ableger XA, XB und XC boten über diverse Internetseiten Bankdienstleistungen an, u.a. Devisenhandel sowie das Bereitstellen von Bank- und Depositenkonten. Auf den Konten der X GmbH gingen von Januar 2012 bis September 2013 etwa 180 Einzahlungen von gut 20 Personen in der Höhe von mindestens CHF 1 Mio. ein. In der gleichen Periode tätigte die X GmbH umfangreiche Überweisungen an Forex-Handelsplattformen im Ausland. Die X GmbH und ihr einziges Organ A verweigerten gegenüber der FINMA jegliche Mitwirkung an der Aufarbeitung des Sachverhalts. Die FINMA stellte fest, dass die X-Gesellschaften gemeinsam als Gruppe gewerbsmässig Publikumseinlagen entgegengenommen hatten, ohne über die notwendige Bankenbewilligung (Art. 1 Abs. 2 BankG ) zu verfügen. Da die Geschäftstätigkeit der X-Gruppe überwiegend von der Schweiz aus erfolgte, waren die ausländischen Entitäten faktische Zweigniederlassungen. Sie wurden entsprechend in das Handelsregister am Sitz der X eingetragen. Die FINMA stellte weiter fest, dass A aufgrund seines massgeblichen Beitrags ebenfalls ohne Bewilligung gewerbsmässig Publikumseinlagen entgegengenommen und damit aufsichtsrechtliche Bestimmungen schwer verletzt hat.</w:t>
      </w:r>
    </w:p>
    <w:p>
      <w:r>
        <w:t>Massnahmen: Feststellung (Art. 32 FINMAG ), Konkurseröffnung über die X GmbH sowie die eingetragenen Zweigniederlassungen XA, XB, und XC (Art. 37 FINMAG i.V.m. Art. 33 BankG ); Publikation einer Unterlassungsanweisung gegen A für die Dauer von 5 Jahren (Art. 34 FINMAG)</w:t>
      </w:r>
    </w:p>
    <w:p>
      <w:r>
        <w:t>Rechtskraft: Eine gegen die Verfügung erhobene Beschwerde wurde vom Bundesverwaltungsgericht abgewiesen, vgl. Urteil BVGer B-4639/2014 vom 23.11.2015 (rechtskräftig).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