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2014-10 vom 4. Juli 2014</w:t>
      </w:r>
    </w:p>
    <w:p>
      <w:r>
        <w:t>FINMA, 2014-07-04, DE</w:t>
      </w:r>
    </w:p>
    <w:p>
      <w:r>
        <w:rPr>
          <w:b/>
        </w:rPr>
        <w:t xml:space="preserve">Quelle: </w:t>
      </w:r>
      <w:r>
        <w:t>https://mcp.opencaselaw.ch/entscheid/finma_2014-10</w:t>
      </w:r>
    </w:p>
    <w:p>
      <w:r>
        <w:t>FR: FINMA 2014-10 du 4 juillet 2014</w:t>
      </w:r>
    </w:p>
    <w:p>
      <w:r>
        <w:t>IT: FINMA 2014-10 del 4 luglio 2014</w:t>
      </w:r>
    </w:p>
    <w:p>
      <w:pPr>
        <w:pStyle w:val="Heading2"/>
      </w:pPr>
      <w:r>
        <w:t>Volltext</w:t>
      </w:r>
    </w:p>
    <w:p>
      <w:r>
        <w:t>Partei: A (Mitarbeiter im obersten Kader einer Bank)</w:t>
      </w:r>
    </w:p>
    <w:p>
      <w:r>
        <w:t>Bereich: Bewilligte</w:t>
      </w:r>
    </w:p>
    <w:p>
      <w:r>
        <w:t>Thema: Berufsverbot/Tätigkeitsverbot</w:t>
      </w:r>
    </w:p>
    <w:p>
      <w:r>
        <w:t>Zusammenfassung: Die Bank X nahm ab dem Jahr 2008 überproportional viele unversteuerte US-Kunden von anderen Schweizer Banken an. A war als Mitarbeiter im obersten Kader der Bank X hauptverantwortlich für die Umsetzung der aggressiven Expansionspolitik im US-Kundengeschäft. Diese Strategie und deren zielstrebige Umsetzung waren mit erheblichen Rechts- und Reputationsrisiken für das Institut und seine Mitarbeiter verbunden. Ein angemessenes Risikomanagement trat aber zugunsten einer kurzsichtigen Wachstumsstrategie zurück. Die notwendigen Massnahmen zur Überwachung des Risikoexposures der Bank X wurden daher nicht getroffen bzw. nicht konsequent umgesetzt. Unter der operativen Führung von A waren eine einwandfreie Geschäftsführung und ein angemessenes Risikomanagement des US-Kundengeschäfts nicht gewährleistet (Art. 3 Abs. 2 Bst. a und c BankG ; Art. 9 Abs. 2 BankV ). Im Sinne von Art. 33 FINMAG erachtete die FINMA A als verantwortlich für diese während Jahren andauernde schwere Verletzung von aufsichtsrechtlichen Bestimmungen der Bank X. Durch sein Verhalten hat A die Anforderungen an die Gewähr für eine einwandfreie Geschäftstätigkeit schwer verletzt.</w:t>
      </w:r>
    </w:p>
    <w:p>
      <w:r>
        <w:t>Massnahmen: 2 Jahre Berufsverbot (Art. 33 FINMAG )</w:t>
      </w:r>
    </w:p>
    <w:p>
      <w:r>
        <w:t>Rechtskraft: Eine gegen die Verfügung erhobene Beschwerde wurde vom Bundesverwaltungsgericht zunächst abgewiesen, vgl. Teilurteil BVGer B-5041/2014 vom 29.6.2015. Eine gegen das Teilurteil des Bundesverwaltungsgerichts erhobene Beschwerde wurde vom Bundesgericht gutgeheissen, vgl. Urteil BGer 2C_739/2015 vom 25.4.2016 (BGE 142 II 243). Nach der Rückweisung durch das Bundesgericht hiess das Bundesverwaltungsgericht die Beschwerde gegen die Verfügung gut, vgl. Urteil BVGer B-3092/2016 vom 25.4.2018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