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62-2024-048-01 vom 19. März 2025</w:t>
      </w:r>
    </w:p>
    <w:p>
      <w:r>
        <w:t>Esbk, 2025-03-19, DE</w:t>
      </w:r>
    </w:p>
    <w:p>
      <w:r>
        <w:rPr>
          <w:b/>
        </w:rPr>
        <w:t xml:space="preserve">Quelle: </w:t>
      </w:r>
      <w:r>
        <w:t>https://mcp.opencaselaw.ch/entscheid/esbk_62-2024-048-01</w:t>
      </w:r>
    </w:p>
    <w:p>
      <w:r>
        <w:t>FR: ESBK 62-2024-048-01 du 19 mars 2025</w:t>
      </w:r>
    </w:p>
    <w:p>
      <w:r>
        <w:t>IT: ESBK 62-2024-048-01 del 19 marzo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ESBK-A-02FE3401/10 Bern, 19. März 2025 Tel +41 58 463 12 04 Fax +41 58 463 12 06 Die Eidgenössische Spielbankenkommission erlässt folgenden Strafbescheid Nr. 62-2024-048/01 Im Verwaltungsstrafverfahren gegen A._________</w:t>
      </w:r>
    </w:p>
    <w:p>
      <w:r>
        <w:t>wegen Widerhandlung gegen das Bundesgesetz vom 29. September 2017 über Geldspiele (Geldspielgesetz, BGS, SR 935.51). In Anwendung von Artikel 130 Absatz 1 Buchstabe a BGS, Artikel 2, Artikel 9, Arti- kel 62 ff. und Artikel 94 ff. des Bundesgesetzes vom 22. März 1974 über das Verwaltungs- strafrecht (VStrR, SR 313.0) und Artikel 34 ff., Artikel 42, Artikel 44 ff. und Artikel 47 des Schweizerischen Strafgesetzbuches vom 21. Dezember 1937 (StGB, SR 311.0) sowie ge- stützt auf das unwidersprochene Schlussprotokoll vom 17. Dezember 2024</w:t>
      </w:r>
    </w:p>
    <w:p>
      <w:r>
        <w:t>2/3</w:t>
      </w:r>
    </w:p>
    <w:p>
      <w:r>
        <w:t>ESBK-A-02FE3401/10 wird verfügt: 1. A. wird der Durchführung von Spielbankenspielen, ohne die dafür notwendige Kon- zession zu besitzen, begangen im … in der Zeit vom 9. März 2024 bis am 22. März 2024, durch - Anbieten der manuellen Spielbankenspiele «81» bzw. «super», sowie Abgeben der dafür erforderlichen Spielutensilien, für schuldig befunden. 2. A. wird zu einer Geldstrafe von 10 Tagessätzen zu CHF 30.00, ausmachend CHF 300.00, verurteilt. 3. Der Vollzug der Geldstrafe wird aufgeschoben und die Probezeit auf zwei Jahre fest- gesetzt. 4. Diese Verurteilung wird im Strafregister eingetragen. 5. Die anteilsmässigen Kosten des Verfahrens in der Höhe von CHF 720.00 (Spruch- gebühr CHF 600.00, Schreibgebühr CHF 120.00) werden A. auferlegt. 6. Die mit Verfügung vom 27. September 2024 beschlagnahmten Daten (U40473) wer- den nach Ablauf der Vollstreckungsverjährung gelöscht. 7. Zugestellt an: - A. 8. Nach Eintritt der Rechtskraft mitzuteilen an: - Schweizerisches Strafregister</w:t>
      </w:r>
    </w:p>
    <w:p>
      <w:r>
        <w:t>Gegen diesen Strafbescheid kann die betroffene Person innert 30 Tagen seit Eröffnung Ein- sprache erheben (Art. 67 VStrR). Schriftliche Eingaben müssen spätestens am letzten Tag der Frist der Behörde eingereicht oder zu deren Handen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 Auf Antrag oder mit Zustimmung der einsprechenden Person kann die Verwaltung eine Ein- sprache als Begehren um Beurteilung durch das Strafgericht behandeln (Art. 71 VStrR).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w:t>
      </w:r>
    </w:p>
    <w:p>
      <w:r>
        <w:t>3/3</w:t>
      </w:r>
    </w:p>
    <w:p>
      <w:r>
        <w:t>ESBK-A-02FE3401/10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