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EMARK EMARK-1999-26 vom 15. Juli 1999</w:t>
      </w:r>
    </w:p>
    <w:p>
      <w:r>
        <w:t>Emark, 1999-07-15, IT</w:t>
      </w:r>
    </w:p>
    <w:p>
      <w:r>
        <w:rPr>
          <w:b/>
        </w:rPr>
        <w:t xml:space="preserve">Quelle: </w:t>
      </w:r>
      <w:r>
        <w:t>https://mcp.opencaselaw.ch/entscheid/emark_EMARK-1999-26</w:t>
      </w:r>
    </w:p>
    <w:p>
      <w:r>
        <w:t>FR: EMARK EMARK-1999-26 du 15 juillet 1999</w:t>
      </w:r>
    </w:p>
    <w:p>
      <w:r>
        <w:t>IT: EMARK EMARK-1999-26 del 15 luglio 1999</w:t>
      </w:r>
    </w:p>
    <w:p>
      <w:pPr>
        <w:pStyle w:val="Heading2"/>
      </w:pPr>
      <w:r>
        <w:t>Regeste</w:t>
      </w:r>
    </w:p>
    <w:p>
      <w:r>
        <w:t>5.  () bb) Si pone pertanto il quesito di sapere se il motivo di revisione dellart. 66 cpv. 2 lett. b PA sia adempito anche allorquando un fatto rilevante sia stato 1999 / 26 - 166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Resta da esaminare se listante avrebbe potuto invocare il motivo di cui si prevale, vale a dire il suo matrimonio, nellambito della procedura di ricorso, nel qual caso tale motivo non darebbe adito a revisione. Come indicato precedentemente, lart. 126a dellOrdinanza sullo stato civile dispone che lufficio dello stato civile comunica allUFR i matrimoni concernenti i richiedenti lasilo. Inoltre, giusta lart. 57 PA, lUFR trasmette alla Commissione gli atti che vanno integrati allincartamento, di modo che lautorità di ricorso sia in possesso dellincartamento completo. Pertanto, e ritenuto che latto di matrimonio di cui trattasi avrebbe, dufficio, dovuto trovarsi nelle carte processuali, non si può rimproverare allistante una mancanza di diligenza per non avere prodotto un documento che poteva presumere già in possesso dellautorità giudicante. © 04.06.02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