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vorrang-kw-rheinfelden-T3x4Ec vom 19. Mai 2015</w:t>
      </w:r>
    </w:p>
    <w:p>
      <w:r>
        <w:t>ElCom, 2015-05-19, DE</w:t>
      </w:r>
    </w:p>
    <w:p>
      <w:r>
        <w:rPr>
          <w:b/>
        </w:rPr>
        <w:t xml:space="preserve">Quelle: </w:t>
      </w:r>
      <w:r>
        <w:t>https://mcp.opencaselaw.ch/entscheid/elcom_vorrang-kw-rheinfelden-T3x4Ec</w:t>
      </w:r>
    </w:p>
    <w:p>
      <w:r>
        <w:t>FR: ELCOM vorrang-kw-rheinfelden-T3x4Ec du 19 mai 2015</w:t>
      </w:r>
    </w:p>
    <w:p>
      <w:r>
        <w:t>IT: ELCOM vorrang-kw-rheinfelden-T3x4Ec del 19 maggio 2015</w:t>
      </w:r>
    </w:p>
    <w:p>
      <w:pPr>
        <w:pStyle w:val="Heading2"/>
      </w:pPr>
      <w:r>
        <w:t>Erwägungen</w:t>
      </w:r>
    </w:p>
    <w:p>
      <w:r>
        <w:rPr>
          <w:b/>
        </w:rPr>
        <w:t>E. 1</w:t>
      </w:r>
    </w:p>
    <w:p>
      <w:r>
        <w:t>Zuständigkeit 26 Gemäss Artikel 22 StromVG überwacht die ElCom die Einhaltung des Gesetzes, trifft die Entscheide und erlässt die Verfügungen, die für den Vollzug des Gesetzes und der Ausführungsbestimmungen notwendig sind. Die ElCom ist für Streitfälle bei Netzzugang und Netznutzungsbedingungen (vgl. Art. 22 Abs. 2 Bst. a StromVG) sowie speziell für Fragen im Zusammenhang mit grenzüberschreitender Übertragungskapazität zuständig (vgl. Art. 17 StromVG). Fraglich ist vorliegend insbesondere die Handhabung von Vorrängen bei der Zuteilung von Kapazitäten im grenzüberschreitenden Übertra- gungsnetz gemäss Artikel 17 Absatz 2 StromVG. 27 Bei der Stromversorgungsgesetzgebung handelt es sich grundsätzlich um öffentliches Recht. Dieses kennt anders als das Privatrecht kein eigentliches Kollisionsrecht. Es gilt das Territorialitätsprinzip. Schweizerisches öffentliches Recht wird demnach nur auf Sachverhalte angewendet, welche sich in der Schweiz zutragen. Schweizerische Behörden dürfen nur schweizerisches öffentliches Recht an- wenden. Es kann allerdings unklar sein, welchem Gemeinwesen ein bestimmter Sachverhalt zuzuord- nen ist (HÄFELIN URLICH/MÜLLER GEORG/UHLMANN FELIX, Allgemeines Verwaltungsrecht, 6. Auflage, Zürich/Basel/Genf 2010, Rz 355 ff.). Dabei kann an verschiedene Kriterien angeknüpft werden, zum Beispiel an den Ort der Handlung, an den Ort der Auswirkungen dieser Handlung, an den Ort der ge- legenen Sache oder an den Wohnsitz. Damit werden gleichzeitig die Zuständigkeit und das anwend- bare Recht bestimmt. Zuständigkeit und anwendbares Recht können nicht auseinanderfallen (IMBODEN MAX/RHINOW RENÉ, Schweizerische Verwaltungsrechtsprechung, Band I: Allgemeiner Teil, Basel und Stuttgart 1976, Nr. 19 B.II.a und Nr. 19 B.III.b; siehe zum Ganzen bereits die Verfügung der ElCom vom 30. Oktober 2008 [952-08-017], Rz. 6). Völkerrechtlich ist jeder Staat als Inhaber der Ge- bietshoheit bzw. auf Grundlage des Territorialitätsprinzips auf dem eigenen Staatsgebiet regelungsbe- fugt für Sachverhalte, die sich auf seinem Gebiet ereignen (vgl. BENEDIKT PIRKER/ASTRID EPINEY, Zur vorrangigen Vergabe von Stromübertragungskapazitäten bei „Grenzkraftwerken“ – ausgewählte recht- liche Aspekte, Gutachten, November 2014, S. 40; act. 39). 28 Die Zuständigkeit der ElCom ist somit für die auf schweizerischem Territorium stattfindenden oder sich auf diesem Territorium auswirkenden Handlungen gegeben.</w:t>
      </w:r>
    </w:p>
    <w:p>
      <w:r>
        <w:rPr>
          <w:b/>
        </w:rPr>
        <w:t>E. 2</w:t>
      </w:r>
    </w:p>
    <w:p>
      <w:r>
        <w:t>Parteien und rechtliches Gehör</w:t>
      </w:r>
    </w:p>
    <w:p>
      <w:r>
        <w:rPr>
          <w:b/>
        </w:rPr>
        <w:t>E. 2.1</w:t>
      </w:r>
    </w:p>
    <w:p>
      <w:r>
        <w:t>Parteien 29 Als Parteien gelten nach Artikel 6 VwVG Personen, deren Rechte oder Pflichten die Verfügung berühren soll, und andere Personen, Organisationen oder Behörden, denen ein Rechtsmittel gegen die Verfügung zusteht. 30 Die Verfügungsadressatin reichte in dieser Angelegenheit bei der ElCom Anträge ein. Vorliegende Verfügung betrifft Rechte und Pflichten der Verfügungsadressatin. Die Verfügungsadressatin ist mate- rielle Verfügungsadressatin und daher Partei im Sinne von Artikel 6 in Verbindung mit Artikel 48 VwVG. 31 Die in Deutschland domizilierte Verfügungsadressatin wird in diesem Verfahren durch ihre Mutterge- sellschaft, die Energiedienst Holding AG vertreten, welche während dieses Verfahrens auch die ge-</w:t>
      </w:r>
    </w:p>
    <w:p>
      <w:r>
        <w:t>8/14</w:t>
      </w:r>
    </w:p>
    <w:p>
      <w:r>
        <w:t>samte Korrespondenz wahrnahm. Mit E-Mail vom 11. Mai 2015 bestätigte die Energiedienstholding, dass sie die Interessen der Verfügungsadressatin wahrnimmt. 32 Die vorliegende Verfügung hat auch einen direkten Einfluss auf die von der Verfahrensbeteiligten wahrgenommenen Aufgaben. Die Verfügung betrifft unter anderem die Durchführung von Verfahren zur Handhabung von Engpässen (vgl. Art. 20 Abs. 2 Bst. d StromVG) und kann Auswirkungen auf die Behandlung der grenzüberschreitenden Übertragungskapazität haben. Somit kommt auch der Verfah- rensbeteiligten Parteistellung zu.</w:t>
      </w:r>
    </w:p>
    <w:p>
      <w:r>
        <w:rPr>
          <w:b/>
        </w:rPr>
        <w:t>E. 2.2</w:t>
      </w:r>
    </w:p>
    <w:p>
      <w:r>
        <w:t>Feststellungsverfügung 33 Die in der Sache zuständige Behörde kann über den Bestand, den Nichtbestand oder den Umfang öffentlich-rechtlicher Rechte oder Pflichten von Amtes wegen oder auf Begehren eine Feststellungs- verfügung treffen (Art. 25 Abs. 1 VwVG). Die Feststellungsverfügung ist subsidiär, wobei sie unter an- derem zur vorgängigen Klärung gewisser grundlegender Fragestellungen erfolgen kann (vgl. BEATRICE WEBER-DÜRLER, in: Kommentar zum Bundesgesetz über das Verwaltungsverfahren, AUER/MÜLLER/SCHINDLER [Hrsg.], Zürich/St. Gallen 2008, Art. 25 N 16). Mithin kann eine Feststel- lungsverfügung erlassen werden, wenn der Gesuchsteller an der Beseitigung einer Unklarheit über öffentlich-rechtliche Rechte und Pflichten interessiert ist, weil er sonst Gefahr laufen würde, ihm nach- teilige Massnahmen zu treffen oder zu unterlassen (Urteil BGer 1C_6/2007 vom 22. August 2007, E. 3.3). 34 In diesem Verfahren ist umstritten, ob und inwiefern ein sich auf Artikel 17 Absatz 2 StromVG stützender Vorrang besteht. Dabei handelt sich um die Frage eines Bestandes von öffentlich- rechtlichen Ansprüchen, deren Klärung im Interesse der Parteien liegt und im vorliegenden Fall nicht durch eine rechtsgestaltende Massnahme erfolgen kann.</w:t>
      </w:r>
    </w:p>
    <w:p>
      <w:r>
        <w:rPr>
          <w:b/>
        </w:rPr>
        <w:t>E. 2.3</w:t>
      </w:r>
    </w:p>
    <w:p>
      <w:r>
        <w:t>Rechtliches Gehör 35 Den Parteien wurde die Eröffnung eines formellen Verfahrens mitgeteilt (act. 15, 16). Den Parteien wurden mehrfach Aktenverzeichnisse zugestellt und diese übten ihr Recht auf Akteneinsicht wieder- holt aus (act. 24, act. 28, act. 30-32, act. 41-42). Die Parteien konnten sich in diesem Verfahren eben- falls wiederholt äussern sowie nahmen mehrfach Stellung. Die von der Verfügungsadressatin und der Verfahrensbeteiligten vorgebrachten Argumente werden bei den materiellen Erwägungen behandelt. Damit wird das rechtliche Gehör der Parteien gewahrt (Art. 29 VwVG).</w:t>
      </w:r>
    </w:p>
    <w:p>
      <w:r>
        <w:rPr>
          <w:b/>
        </w:rPr>
        <w:t>E. 3</w:t>
      </w:r>
    </w:p>
    <w:p>
      <w:r>
        <w:t>Materielle Beurteilung</w:t>
      </w:r>
    </w:p>
    <w:p>
      <w:r>
        <w:rPr>
          <w:b/>
        </w:rPr>
        <w:t>E. 3.1</w:t>
      </w:r>
    </w:p>
    <w:p>
      <w:r>
        <w:t>Stromversorgungsrechtliche Grundlagen 36 Artikel 17 StromVG betrifft seinem Titel entsprechend den Netzzugang bei Engpässen im grenzüber- schreitenden Übertragungsnetz. In Artikel 17 Absatz 1 StromVG wird festgehalten, dass wenn die Nachfrage nach grenzüberschreitender Übertragungskapazität die verfügbare Kapazität überschreitet, die nationale Netzgesellschaft die verfügbare Kapazität nach marktorientierten Verfahren wie Auktio- nen zuteilen kann. Die ElCom kann das Verfahren regeln. 37 Gemäss Artikel 17 Absatz 2 StromVG haben bei der Zuteilung von Kapazitäten im grenzüberschrei- tenden Übertragungsnetz Lieferungen auf Grund von internationalen Bezugs- und Lieferverträgen, die vor dem 31. Oktober 2002 abgeschlossen worden sind, sowie Lieferungen nach Artikel 13 Absatz 3 Vorrang. Mit dieser Spezialnorm wird in bestimmten Fällen ein sogenannter Vorrang gewährt. Es ge-</w:t>
      </w:r>
    </w:p>
    <w:p>
      <w:r>
        <w:t>9/14</w:t>
      </w:r>
    </w:p>
    <w:p>
      <w:r>
        <w:t>hört dabei zu den Aufgaben der Verfahrensbeteiligten als nationale Netzgesellschaft, die grenzüber- schreitenden Übertragungskapazitäten in Koordination mit den Netzbetreibern der Nachbarländer festzulegen (vgl. Art. 20 Abs. 1 StromVG). Im Streitfall hat ein Entscheid der ElCom zu ergehen (vgl. Art. 22 Abs. 2 Bst. a StromVG). Die Gewährung eines physischen Vorrangs hat zur Folge, dass die betreffende Kapazität nicht verauktioniert wird. Der Berechtigten wird Kapazität zur freien Nutzung zur Verfügung gestellt (vgl. Verfügung der ElCom vom 12. Mai 2011 [921-09-003], Rz. 32). 38 In der Botschaft des Bundesrates zur Änderung des Elektrizitätsgesetzes und zum Stromversor- gungsgesetz vom 3. Dezember 2004 (BBl 2005 1611; Botschaft) wird zu Artikel 17 Absatz 2 StromVG ausgeführt, dass die Zuteilung der Kapazität im marktorientierten Verfahren in zweierlei Hinsicht ein- geschränkt ist: Zum einen in Bezug auf die Vorrangstellung von Importen zur Versorgung der inländi- schen Endverbraucher und zum andern in Bezug auf den Vorrang von Lieferungen auf Grund von in- ternationalen Bezugs- und Lieferverträgen, die vor dem 31. Oktober 2002 abgeschlossen worden sind. Das Datum des 31. Oktobers 2002 wurde deshalb gewählt, weil die Anwendung marktorientierter Zuteilungsverfahren für das Engpassmanagement anlässlich des Florenz-Forums der EU-Regulatoren im November 2002 beschlossen wurde. Für langfristige internationale Bezugs- und Lieferverträge, welche nach diesem Datum abgeschlossen wurden, wird vorausgesetzt, dass sie in Kenntnis des kommenden Systems des Engpassmanagements nach marktorientierten Verfahren erfolgen. Eine Vorrangstellung aus Gründen der Rechtssicherheit lässt sich nach diesem Datum nicht mehr rechtfer- tigen (Botschaft, S. 1638). 39 Die Bedeutung von Artikel 17 Absatz 2 StromVG in Zusammenhang mit Grenzkraftwerken ergibt sich unter anderem aus dem (nachfolgend auszugsweise wiedergegebenen) Votums des damaligen Prä- sidenten der vorberatenden Kommission im Ständerat (AB 2006 S 847): „Wir haben 23 Wasserkraft- werke, die als Grenzkraftwerke bezeichnet werden und die durch neun Staatsverträge mit dem Aus- land normiert werden. Diese Verträge gehen davon aus, dass der Strom aus diesen Kraftwerken, welcher z. B. nach Italien geleitet wird, wie in Italien produzierter Strom behandelt wird, dass er daher keinen fiskalischen Belastungen und keinen handelspolitischen Schranken unterworfen ist. Dass sol- cher Strom nicht auch noch verauktioniert werden muss, weil er eben in einem gewissen Sinne gar nicht grenzüberschreitend ist, erscheint uns klar und soll der Klarheit halber hier auch deutlich gesagt werden. Der Bundespräsident hat es gesagt, die Kommission bestätigt es aus ihrer Sicht. Artikel 17 Absatz 2 in Verbindung mit Artikel 13 Absatz 4 Buchstabe c ist die Grundlage für unsere Rechtsauf- fassung“. 40 Allerdings ist auch zu berücksichtigen, dass in Bezug auf Artikel 17 Absatz 2 StromVG, gerade in Fällen, wo schweizerische Unternehmen aus dem Ausland aufgrund von Beteiligungen an Kraftwer- ken im Ausland Strom beziehen, auch Gesichtspunkte der Stromversorgung von strategischer Bedeu- tung sind (vgl. AB 2006 S 847). Damit beinhaltet Artikel 17 Absatz 2 StromVG auch Aspekte der Stromversorgungssicherheit. 41 Auf Verordnungsstufe wird das Verfahren zur Handhabung von Engpässen bei grenzüberschreitenden Lieferungen in Artikel 20 der Stromversorgungsverordnung vom 14. März 2008 (StromVV; SR 734.71) konkretisiert. 42 Zum Umgang mit Engpässen im Übertragungsnetz an den Landesgrenzen ist in der Europäische Union (EU) im Übrigen die Anwendung marktorientierter Verfahren vorgesehen (vgl. Verordnung [EG] Nr. 714/2009 des europäischen Parlaments und des Rates vom 13. Juli 2009 über die Netzzugangs- bedingungen für den grenzüberschreitenden Stromhandel und zur Aufhebung der Verordnung [EG] Nr. 1228/2003).</w:t>
      </w:r>
    </w:p>
    <w:p>
      <w:r>
        <w:t>10/14</w:t>
      </w:r>
    </w:p>
    <w:p>
      <w:r>
        <w:rPr>
          <w:b/>
        </w:rPr>
        <w:t>E. 3.2</w:t>
      </w:r>
    </w:p>
    <w:p>
      <w:r>
        <w:t>Staatvertragliche Normen 43 In staatsvertraglicher Hinsicht sind die folgenden Vereinbarungen zu erwähnen, welche auch in der Verleihung (also der Konzession) für die Nutzung der Wasserkraft des Grenzkraftwerks Rheinfelden erwähnt werden. Einerseits ist dies die Übereinkunft zwischen der Schweiz und dem Grossherzogtum Baden betreffend den Wasserverkehr auf dem Rhein von Neuhausen bis unterhalb Basels vom 10. Mai 1879 (SR 0.747.224.32), für welche die Konzession eine Verständigung gestützt auf Artikel 5 der genannten Übereinkunft erwähnt. Andererseits handelt es sich um den Vertrag zwischen der Schweiz und Deutschland über die Regulierung des Rheins zwischen Strassburg/Kehl und Istein vom 28. März 1929 (SR 0.747.224.052.1), welcher gemäss Artikel 6 Absatz 3 die Ausführung von Kraftwerken er- leichtern soll.</w:t>
      </w:r>
    </w:p>
    <w:p>
      <w:r>
        <w:rPr>
          <w:b/>
        </w:rPr>
        <w:t>E. 3.3</w:t>
      </w:r>
    </w:p>
    <w:p>
      <w:r>
        <w:t>Konzessionsrechtliche Bestimmungen 44 Der Schweizerische Bundesrat verlieh am 20. Dezember 1989 der Kraftübertragungswerke Rheinfel- den AG in Rheinfelden gestützt auf Artikel 24bis der Bundesverfassung und Artikel 7 und 38 Absatz 3 des Bundesgesetzes vom 22. Dezember 1916 über die Nutzbarmachung der Wasserkräfte, nach Ver- ständigung mit der Regierung des Landes Baden-Württemberg gemäss Artikel 5 der Übereinkunft zwischen der Schweiz und dem Grossherzogtum Baden vom 10. Mai 1879 betreffend den Wasser- verkehr auf dem Rhein von Neuhausen bis unterhalb Basel, in Ausführung von Artikel 6 Absatz 3 des Vertrages zwischen der Schweiz und Deutschland vom 28. März 1929 über die Regulierung des Rheins zwischen Strassburg/Kehl und Istein und der Anhörung der Regierung des Kantons Aargau das Recht die Wasserkraft des Rheins bei Rheinfelden (act. 1; Verleihung). Artikel 5 Absatz 2 der ge- nannten Übereinkunft sieht unter anderem vor, dass für künstliche Bauten (wie z.B. Kraftwerke) die Pläne zur tunlichsten Herbeiführung eines Einverständnisses zwischen den Vertragsparteien mitgeteilt werden. Das Bundesgericht hielt in einem das Kraftwerk Rekingen betreffenden Fall unter Berücksich- tigung der erwähnten Staatsverträge fest, dass durch die in gegenseitigem Einvernehmen erfolgte Er- teilung von formell zwar unabhängigen, inhaltlich aber weitgehend übereinstimmenden Konzessionen, zwischen den beteiligten Staaten eine völkerrechtliche Bindung entstehen kann (BGE 129 II 114, E. 4.2). 45 In Zusammenhang mit der vorliegenden Verfügung ist insbesondere Artikel 30 der Verleihung von Bedeutung, der sich gemäss dessen Titel zur Verteilung der Wasserkraft und zur Verwendung der elektrischen Energie äussert. Artikel 30 Absatz 1 der Verleihung hält fest, dass die vom Kraftwerkun- ternehmer nutzbar gemachte Wasserkraft des Rheins und die daraus gewonnene elektrische Energie je zur Hälfte auf die Schweiz und das Land Baden-Württemberg zu entfallen hat.</w:t>
      </w:r>
    </w:p>
    <w:p>
      <w:r>
        <w:rPr>
          <w:b/>
        </w:rPr>
        <w:t>E. 3.4</w:t>
      </w:r>
    </w:p>
    <w:p>
      <w:r>
        <w:t>Frage des Vorrangs bei Engpässen im grenzüberschreitenden Über- tragungsnetz 46 Gemäss der bereits erwähnten Bestimmung in Artikel 17 Absatz 2 StromVG haben bei der Zuteilung von Kapazitäten im grenzüberschreitenden Übertragungsnetz Lieferungen auf Grund von gewissen internationalen Bezugs- und Lieferverträgen Vorrang. Bis 31. Dezember 2014 kam die Verfügungsad- ressatin gestützt auf den bisherigen Kooperationsabkommen zwischen den involvierten Übertra- gungsnetzbetreibern in den Genuss eines Vorranges von […] MW in Importrichtung (Deutschland nach Schweiz). 47 Im neuen Kooperationsvertrag werden ab 1. Januar 2015 keine Vorränge bei der Zuteilung grenz- überschreitender Übertragungsnetzkapazitäten mehr gewährt. Die Verfügungsadressatin stellt dem- gegenüber bei der ElCom Anträge auf Festlegung der bis 31. Dezember 2014 gewährten Vorränge und beruft sich zur Begründung insbesondere auf Artikel 17 Absatz 2 StromVG.</w:t>
      </w:r>
    </w:p>
    <w:p>
      <w:r>
        <w:t>11/14</w:t>
      </w:r>
    </w:p>
    <w:p>
      <w:r>
        <w:t>48 Um die Frage eines stromversorgungsrechtlichen Vorrangs zu klären, sind auch die technisch Gegebenheiten zu betrachten. Die Verfügungsadressatin legte in ihrer Antwort (act. 6) auf die tech- nisch-energiewirtschaftliche Erhebung des Fachsekretariats der ElCom (act. 2) dar, dass sie zur hälf- tigen Aufteilung der Energie aus dem Kraftwerk Rheinfelden über zwei Netzanschlüsse im Verteilnetz (Netzebene 3) verfügt. Die erzeugte Energie kann direkt ab Kraftwerk hälftig in die Schweiz und nach Deutschland (Baden-Württemberg) geliefert werden. 49 Daraus ergibt sich, dass die Voraussetzungen für eine Anwendung von Artikel 17 Absatz 2 StromVG unter anderem seinem Wortlaut entsprechend in zweifacher Hinsicht nicht erfüllt sind: Erstens handelt es sich nicht um grenzüberschreitende Lieferungen, da die Stromeinspeisung direkt ins jeweilige nati- onale Verteilnetz erfolgt. Zweitens handelt es sich nicht um eine Einspeisung ins Übertragungsnetz (vgl. Art. 4 Abs. 1 Bst. h StromVG), sondern in ein Verteilnetz (vgl. vgl. Art. 4 Abs. 1 Bst. i StromVG). Aus den von der Verfügungsadressatin am 16 November 2012 (act. 6) eingereichten Netzschemata sowie der Beantwortung des Fragenkatalogs (vgl. Frage 2: 110 kV-Anschlüsse) geht hervor, dass es sich um einen Anschluss auf Verteilnetzebene handelt. Die Aufteilung der Energie erfolgt mithin nicht im engpassbehafteten Übertragungsnetz (Netzebene 1). Da es sich nicht um Lieferungen im grenz- überschreitenden Übertragungsnetz handelt, kann auch der Artikel 17 Absatz 2 StromVG erhaltene Verweis auf Artikel 13 Absatz 3 StromVG nicht zur Anwendung gelangen. 50 Die Begründung der Verfügungsadressatin, dass ein Vorrang im engpassbehafteten Übertragungs- netz zur hälftigen Aufteilung der Energie für asymmetrische Betriebssituationen wie störungsbedingter Unterbruch in einer der beiden Verteilnetzableitungen oder bei Betrieb von 1 oder 3 Maschinen not- wendig sei, basiert auf der Annahme, dass die hälftige Aufteilung der Energie zu jedem Zeitpunkt zu erfolgen hat. Hierzu ist Folgendes festzuhalten: Erstens ist eine hälftige Aufteilung der Energie im Au- genblick der Erzeugung, d.h. eine hälftige Aufteilung der elektrischen Leistung, in der Verleihung nicht vorgesehen. Zweitens lässt sich eine hälftige Aufteilung der Energie auch anders als über eine hälftige Aufteilung der momentan erzeugten Leistung bewerkstelligen. Als Beispiele seien eine buchhalteri- sche Abwicklung über Energieausgleichskonti oder via eine bevorzugte Lieferung in die Schweiz und anschliessendem Ausgleich entgegen der Engpassrichtung nach Deutschland erwähnt. Daraus ergibt sich, dass auch in speziellen Betriebssituationen keine Vorränge im engpassbehafteten Übertra- gungsnetz erforderlich oder abzuleiten sind. 51 Die Begründung der Verfügungsadressatin erfolgt im Wesentlichen durch Hinweise auf einen sich gemäss der gesetzlichen Entstehungsgeschichte auch auf Grenzkraftwerke beziehenden Vorrang nach Artikel 17 Absatz 2 StromVG sowie den entsprechenden Verweis auf Artikel 13 Absatz 3 Buch- stabe c StromVG. Hierzu ist festzuhalten, dass aufgrund der energietechnischen Abwicklung auf dem Verteilnetz und damit mangels grenzüberschreitender Lieferungen auf dem Übertragungsnetz - sowie ohne Auktionierungen von Kapazitäten - den konzessionsrechtlichen Vorgaben, insbesondere einer hälftigen Energieaufteilung, ohne weiteres Rechnung getragen ist. Für darüber hinausgehende An- sprüche für Bevorrangungen im grenzüberschreitenden Übertragungsnetz bestehen in diesem Fall keine Rechtsgrundlagen. Weitergehende konkrete Begründungen, Hinweise oder Quellen für das Vor- liegen eines Vorrangs für das Kraftwerk Rheinfelden werden von der Verfügungsadressatin nicht vor- gebracht. Da es sich nicht um Lieferungen im grenzüberschreitenden Übertragungsnetz handelt, kann im Übrigen auch der in Artikel 17 Absatz 2 StromVG enthaltene Verweis auf Artikel 13 Absatz 3 StromVG nicht zur Anwendung gelangen. In diesem Fall wäre allenfalls zu berücksichtigen, dass we- der die erwähnten Staatsverträge noch die Verleihung eine explizite Gleichstellung mit inländisch er- zeugtem Strom oder eine Befreiung von Abgaben vorsehen, wie dies beispielsweise bei den in der Verfügung der ElCom vom 12. Mai 2011 [921-09-003] behandelten Kraftwerk der Fall war. 52 Als Zwischenfazit ergibt sich, dass die Voraussetzungen für das Bestehen eines sich auf Artikel 17 Absatz 2 StromVG stützenden Vorrangs beim Kraftwerk Rheinfelden nicht gegeben sind. Dement- sprechend sind die von der Verfügungsadressatin gestellten Anträge abzuweisen. Eine rechtsgestal- tende Massnahme erübrigt sich, da nach dem neuen Kooperationsabkommen von Swissgrid keine</w:t>
      </w:r>
    </w:p>
    <w:p>
      <w:r>
        <w:t>12/14</w:t>
      </w:r>
    </w:p>
    <w:p>
      <w:r>
        <w:t>Vorränge mehr gewährt werden. Da es sich um einen Nichtbestand eines von der Verfügungsadres- satin geltend gemachten Rechts handelt, ist rechtlich im Entscheiddispositiv festzustellen, dass für das Kraftwerk Rheinfelden kein Vorrang nach Artikel 17 Absatz 2 StromVG vorliegt. 53 Im Weiteren ist an dieser Stelle zu fragen, ob bei dieser Rechtsanwendung des Stromversorgungs- rechts eventuelle konzessionsrechtliche Widersprüche bestehen. 54 Die Verleihung sieht lediglich eine hälftige Aufteilung der Energie vor; eine Pflicht zur hälftigen Aufteilung im Augenblick der Erzeugung, d.h. eine hälftige Aufteilung der elektrischen Leistung, lässt sich aus der Verleihung nicht ableiten. Folglich ist eine Übertragung von Energieanteilen über das engpassbehaftete, grenzüberschreitende Übertragungsnetz keine Notwendigkeit, die sich aus der Verleihung schliessen lässt. 55 Damit sind zur Erfüllung der Pflicht gemäss Art. 30 Abs. 1 der Verleihung, dass die erzeugte Energie je zur Hälfte auf die Schweiz und auf das Land Baden-Württemberg zu entfallen haben, keine Vorrän- ge im Übertragungsnetz gemäss Art. 17 Abs. 2 StromVG notwendig. Die sich aus der Konzession er- gebenden Verpflichtungen werden aufgrund der technischen Gegebenheiten im Verteilnetz abgewi- ckelt. 56 Da keine Widersprüche zwischen der Anwendung des StromVG und der Konzession bestehen, ist die Frage des Verhältnisses zwischen StromVG und Konzession grundsätzlich nicht von Bedeutung. Falls eine Einschränkung von konzessionsrechtlich wohlerworbenen Rechten vorläge – was hier nicht er- sichtlich ist – wären diese Rechte auch nicht vor jeder Änderung aufgrund einer späteren Gesetzge- bung geschützt, sondern könnten unter denselben Voraussetzungen, die für die Eingriffe verfas- sungsmässige Rechte gelten, eingeschränkt bzw. verändert werden (vgl. Tschannen/Zimmerli /Müller, Allgemeines Verwaltungsrecht, 3 Auflage, Bern 2009, S. 430). Es ist nicht ausgeschlossen, Gesetze anzuwenden, die nach der Verleihung in Kraft treten, sofern die neuen Normen keinen Eingriff in die Substanz des wohlerworbenen Rechts zur Folge haben (BGE 107 Ib 140 E.3.b). Der Gedanke, wohl- erworbene Rechte seien schlechthin gesetzesbeständig und damit unentziehbar, würde bedeuten, diese Rechte gingen in ihrer Tragweite über die Eigentumsgarantie hinaus, was der übereinstimmen- den Lehre sowie der Rechtsprechung widersprechen würde (BGE 112 Ia 275 E.4.b).</w:t>
      </w:r>
    </w:p>
    <w:p>
      <w:r>
        <w:rPr>
          <w:b/>
        </w:rPr>
        <w:t>E. 4</w:t>
      </w:r>
    </w:p>
    <w:p>
      <w:r>
        <w:t>Gebühren 57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58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59 Die Gebühr hat zu bezahlen, wer eine Verfügung veranlasst (Art. 1 Abs. 3 GebV-En i.V.m. Art. 2 Abs. 1 der Allgemeinen Gebührenverordnung vom 8. September 2004 [AllgGebV; SR 172.041.1]).</w:t>
      </w:r>
    </w:p>
    <w:p>
      <w:r>
        <w:t>13/14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