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regulatorischer-uebertragungswert-ne-1-ksl-il8Zsb vom 1. Juli 2015</w:t>
      </w:r>
    </w:p>
    <w:p>
      <w:r>
        <w:t>ElCom, 2015-07-01, DE</w:t>
      </w:r>
    </w:p>
    <w:p>
      <w:r>
        <w:rPr>
          <w:b/>
        </w:rPr>
        <w:t xml:space="preserve">Quelle: </w:t>
      </w:r>
      <w:r>
        <w:t>https://mcp.opencaselaw.ch/entscheid/elcom_regulatorischer-uebertragungswert-ne-1-ksl-il8Zsb</w:t>
      </w:r>
    </w:p>
    <w:p>
      <w:r>
        <w:t>FR: ELCOM regulatorischer-uebertragungswert-ne-1-ksl-il8Zsb du 1 juillet 2015</w:t>
      </w:r>
    </w:p>
    <w:p>
      <w:r>
        <w:t>IT: ELCOM regulatorischer-uebertragungswert-ne-1-ksl-il8Zsb del 1 luglio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7/17</w:t>
      </w:r>
    </w:p>
    <w:p>
      <w:r>
        <w:rPr>
          <w:b/>
        </w:rPr>
        <w:t>E. 2.2</w:t>
      </w:r>
    </w:p>
    <w:p>
      <w:r>
        <w:t>Rechtliches Gehör 25 Den Parteien wurde im vorliegenden Verfahren Gelegenheit zur Stellungnahme gegeben. Insbeson- dere wurde ihnen ein Entwurf der vorliegenden Verfügung zur Stellungnahme unterbreitet (act. 12 und 13). Die Parteien nahmen mit Stellungnahme vom 10. Juni 2015 (act. 18) und 12. Juni 2015 (act. 19) zum Verfügungsentwurf Stellung. Die von den Parteien vorgebrachten Anträge und die diesen zu- grunde liegenden Argumente werden bei der materiellen Beurteilung behandelt. Damit wird das recht- liche Gehör der Parteien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8 und 9). Die ElCom hat die verschiedenen Anträge soweit möglich mit dem Übertragungsinventar verglichen, um die Überein- stimmung der für die vorliegende Bewertungsverfügung geltend gemachten Anlagen mit den Inventa- ren sicherzustellen. 27 Die Gesuchstellerin beantragt, der regulatorische Anlagenwert per 31. Dezember 2014 der von der Gesuchstellerin an die Verfahrensbeteiligte zu überführenden bzw. zu vermietenden Übertragungs- netzanlagen (inklusive regulatorischer Anlagenwert der zu vermietenden Anlagen) sei mit CHF […] Franken festzulegen (act. 10, Antrag 1). 28 Die Verfahrensbeteiligte beantragt in ihrer Stellungnahme vom 12. Juni 2015, es seien keine zu vermietenden Anlagen in die Festsetzung des regulatorischen Anlagenwerts aufzunehmen (act. 19, Antrag 2 bzw. Rz. 4 ff.). Es ist an dieser Stelle festzuhalten, dass die Gesuchstellerin keine vermiete- ten Anlagen deklariert hat und auch durch die Prüfung keine festgestellt wurden. In ihrer ergänzenden Stellungnahme vom 23. Juni 2015 bestätigt die Gesuchstellerin diesen Umstand (act. 22). Die vorlie- gend verfügten Anlagenwerte enthalten nur die im Übertragungsinventar enthaltenen Anlagen.</w:t>
      </w:r>
    </w:p>
    <w:p>
      <w:r>
        <w:rPr>
          <w:b/>
        </w:rPr>
        <w:t>E. 3.2</w:t>
      </w:r>
    </w:p>
    <w:p>
      <w:r>
        <w:t>Abgrenzung der Anlagen aus dem Übertragungsnetz 29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30 Die Gesuchstellerin hat diese Aufteilung vorgenommen (act. 2, Beilage 5, Frage 2).</w:t>
      </w:r>
    </w:p>
    <w:p>
      <w:r>
        <w:rPr>
          <w:b/>
        </w:rPr>
        <w:t>E. 3.3</w:t>
      </w:r>
    </w:p>
    <w:p>
      <w:r>
        <w:t>Anlagen im Bau 31 Kosten für lediglich geplante Anlagen sind nicht als Anlagen im Bau anrechenbar (siehe Urteil des Bundesverwaltungsgerichts vom 20. Juni 2013, A-2876/2010, E. 6.4). Die eingereichten Anlagenwerte dürfen daher keine solchen Positionen enthalten. 32 Anlagen im Bau können nach Massgabe der vertraglichen Vereinbarungen zwischen der Gesuchstel- lerin und der Verfahrensbeteiligten für die Übertragung berücksichtigt werden. 33 Die Gesuchstellerin hat keine Anlagen in Bau deklariert (act. 2, Beilage 5, Frage 4).</w:t>
      </w:r>
    </w:p>
    <w:p>
      <w:r>
        <w:t>8/17</w:t>
      </w:r>
    </w:p>
    <w:p>
      <w:r>
        <w:rPr>
          <w:b/>
        </w:rPr>
        <w:t>E. 3.4</w:t>
      </w:r>
    </w:p>
    <w:p>
      <w:r>
        <w:t>Netzkäufe 34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35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 fungs- oder Herstellkosten zu bewerten. 36 Die Gesuchstellerin hat nach eigenen Angaben keine Netzkäufe von Dritten oder kaufähnliche Ausgliederungen von Anlagen innerhalb des Konzerns vorgenommen (act. 2 Beilage 5, Fragen 5 und 6).</w:t>
      </w:r>
    </w:p>
    <w:p>
      <w:r>
        <w:rPr>
          <w:b/>
        </w:rPr>
        <w:t>E. 3.5</w:t>
      </w:r>
    </w:p>
    <w:p>
      <w:r>
        <w:t>Bewertung von Grundstücken 37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38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39 Die Gesuchstellerin überträgt keine Grundstücke an die Verfahrensbeteiligte (act. 2, Beilage 5, Frage 7).</w:t>
      </w:r>
    </w:p>
    <w:p>
      <w:r>
        <w:rPr>
          <w:b/>
        </w:rPr>
        <w:t>E. 3.6</w:t>
      </w:r>
    </w:p>
    <w:p>
      <w:r>
        <w:t>Zahlungen Dritter 40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41 Die Gesuchstellerin bestätigt, dass für die zu übertragenden Anlagen keine Zahlungen von Dritten erfolgt sind (act. 2, Beilage 5, Frage 14).</w:t>
      </w:r>
    </w:p>
    <w:p>
      <w:r>
        <w:rPr>
          <w:b/>
        </w:rPr>
        <w:t>E. 3.7</w:t>
      </w:r>
    </w:p>
    <w:p>
      <w:r>
        <w:t>Abschreibungen 42 Die jährlichen kalkulatorischen Abschreibungen berechnen sich aufgrund der Anschaffungs- bzw. Herstellkosten der bestehenden Anlagen bei linearer Abschreibung über eine festgelegte Nutzungs-</w:t>
      </w:r>
    </w:p>
    <w:p>
      <w:r>
        <w:t>9/17</w:t>
      </w:r>
    </w:p>
    <w:p>
      <w:r>
        <w:t>dauer auf den Restwert Null (Art. 13 Abs. 2 StromVV). Die ElCom verlangt daher, dass die Abschrei- bungen vom Zugangsjahr beginnend abgeschrieben werden. 43 Die ausgewiesenen Abschreibungen der Gesuchstellerin zeigen keine Auffälligkeiten (act. 2, Beilage 2).</w:t>
      </w:r>
    </w:p>
    <w:p>
      <w:r>
        <w:rPr>
          <w:b/>
        </w:rPr>
        <w:t>E. 3.8</w:t>
      </w:r>
    </w:p>
    <w:p>
      <w:r>
        <w:t>Historische Bewertung</w:t>
      </w:r>
    </w:p>
    <w:p>
      <w:r>
        <w:rPr>
          <w:b/>
        </w:rPr>
        <w:t>E. 3.8.1</w:t>
      </w:r>
    </w:p>
    <w:p>
      <w:r>
        <w:t>Grundsätze zur historischen Bewertung 44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45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46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47 Mit Schreiben vom 3. März 2015 macht die Gesuchstellerin Restwerte per 31. Dezember 2014 in der Höhe von insgesamt […] Franken geltend (act. 2, Beilage 4). Diese Werte zeigten keine Auffälligkeiten und entsprechen damit den anrechenbaren historischen Restwerten. […] Tabelle 1 Anrechenbare historische Restwerte per 31.12.2014 KSL</w:t>
      </w:r>
    </w:p>
    <w:p>
      <w:r>
        <w:rPr>
          <w:b/>
        </w:rPr>
        <w:t>E. 3.9</w:t>
      </w:r>
    </w:p>
    <w:p>
      <w:r>
        <w:t>Synthetische Bewertung</w:t>
      </w:r>
    </w:p>
    <w:p>
      <w:r>
        <w:rPr>
          <w:b/>
        </w:rPr>
        <w:t>E. 3.9.1</w:t>
      </w:r>
    </w:p>
    <w:p>
      <w:r>
        <w:t>Grundsätze zur synthetischen Bewertung 48 Die synthetische Bewertungsmethode ist eine Ausnahmemethode, die zur Anwendung kommt, wenn die ursprünglichen Kosten nicht zuverlässig ermittelt werden können. Anlagen sind in ihrer Gesamtheit entweder historisch oder synthetisch zu bewerten (vgl. Rz. 44 ff.). 49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w:t>
      </w:r>
    </w:p>
    <w:p>
      <w:r>
        <w:t>10/17</w:t>
      </w:r>
    </w:p>
    <w:p>
      <w:r>
        <w:t>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50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44 ff.).</w:t>
      </w:r>
    </w:p>
    <w:p>
      <w:r>
        <w:rPr>
          <w:b/>
        </w:rPr>
        <w:t>E. 3.9.2</w:t>
      </w:r>
    </w:p>
    <w:p>
      <w:r>
        <w:t>Synthetische Bewertung der Anlagen 51 Die Gesuchstellerin macht keine synthetische Bewertung geltend. Entsprechend sind die zugehörigen Tabellenspalten in der nachfolgenden Tabelle 2 leer.</w:t>
      </w:r>
    </w:p>
    <w:p>
      <w:r>
        <w:rPr>
          <w:b/>
        </w:rPr>
        <w:t>E. 3.10</w:t>
      </w:r>
    </w:p>
    <w:p>
      <w:r>
        <w:t>Anlagenwerte insgesamt 52 Insgesamt ergeben sich für die Gesuchstellerin aus obigen Ausführungen folgende regulatorischen Anlagenwerte als Basis für die Festsetzung des Übertragungswertes: […] Tabelle 2 Anrechenbare Restwerte insgesamt für die Überführung per 31.12.2014 KSL</w:t>
      </w:r>
    </w:p>
    <w:p>
      <w:r>
        <w:rPr>
          <w:b/>
        </w:rPr>
        <w:t>E. 3.11</w:t>
      </w:r>
    </w:p>
    <w:p>
      <w:r>
        <w:t>Nachdeklaration Kosten</w:t>
      </w:r>
    </w:p>
    <w:p>
      <w:r>
        <w:rPr>
          <w:b/>
        </w:rPr>
        <w:t>E. 3.11.1</w:t>
      </w:r>
    </w:p>
    <w:p>
      <w:r>
        <w:t>Grundsätzliches 53 Durch die neue Zuteilung von Netzkomponenten zum Übertragungsnetz haben diverse Unternehmen die Gelegenheit wahrgenommen, anrechenbare Kosten im Nachhinein geltend zu machen. 54 Aufgrund des umfangreichen Zahlenmaterials sind die Details zu den Berechnungen in den beiliegen- den Tabellenblättern enthalten. In der vorliegenden Verfügung beschränkt sich die ElCom darauf, die eingereichten und die anrechenbaren Werte wiederzugeben. 55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56 Die Verfahrensbeteiligte beantragt in ihrer Stellungnahme vom 12. Juni 2015, es seien keine zu vermietenden Anlagen in die Festsetzung der anrechenbaren Kosten der Nachdeklaration aufzuneh- men (act. 19, Antrag 3 bzw. Rz. 12 ff.). Es ist an dieser Stelle festzuhalten, dass die Gesuchstellerin keine vermieteten Anlagen deklariert hat und auch durch die Prüfung keine festgestellt wurden. Die vorliegend verfügten anrechenbaren Netzkosten enthalten nur die Kosten bezüglich der im Übertra- gungsinventar enthaltenen Anlagen (vgl. Rz. 28).</w:t>
      </w:r>
    </w:p>
    <w:p>
      <w:r>
        <w:t>11/17</w:t>
      </w:r>
    </w:p>
    <w:p>
      <w:r>
        <w:rPr>
          <w:b/>
        </w:rPr>
        <w:t>E. 3.11.2</w:t>
      </w:r>
    </w:p>
    <w:p>
      <w:r>
        <w:t>Betroffene Tarifjahre 57 Die Gesuchstellerin hat Kosten für die Anlagen der Netzebene 1 für die Jahre 2009 bis 2014 beantragt (act. 10). 58 Vorliegend geht es somit um die Nachdeklaration betreffend die Tarifjahre 2009 bis 2014.</w:t>
      </w:r>
    </w:p>
    <w:p>
      <w:r>
        <w:rPr>
          <w:b/>
        </w:rPr>
        <w:t>E. 3.11.3</w:t>
      </w:r>
    </w:p>
    <w:p>
      <w:r>
        <w:t>Nachdeklaration Betriebskosten 59 Die Gesuchstellerin macht für die zu übertragenden Anlagenwerte jährliche Betriebskosten von pauschal […] Franken ab 2011 geltend (act. 2, Beilage 4, Tabellenblatt «Übersicht»). Eine pauschale Verrechnung ist grundsätzlich nicht zulässig, sondern es ist auf Ist-Kosten abzustellen. 60 Da es sich bei den Anlagen der SE 2014 zum überwiegenden Teil jedoch um Anlagen oder Anlagetei- le handelt, welche erst im Verlaufe der diversen Verfahren der Abgrenzung des Übertragungsnetzes zu letzterem gezählt wurden, liegt in den meisten Fällen keine Abrechnung der Ist-Kosten vor. Die Kosten mussten vielmehr über verschiedene Methoden (Nachbau Kostenrechnung, Schlüsselung der Aufwände etc.) hergeleitet werden. In diesem Sinnen können vorliegend die pauschal geltend ge- machten Betriebskosten anerkannt werden, zumal sie auch plausibel sind. 61 Insgesamt sind für die Gesuchstellerin damit für die Jahre 2009–2014 Betriebskosten in der Höhe von […] Franken anrechenbar: […] Tabelle 3 Anrechenbare Betriebskosten für die Jahre 2009–2014 KSL</w:t>
      </w:r>
    </w:p>
    <w:p>
      <w:r>
        <w:rPr>
          <w:b/>
        </w:rPr>
        <w:t>E. 3.11.4</w:t>
      </w:r>
    </w:p>
    <w:p>
      <w:r>
        <w:t>Nachdeklaration Kapitalkosten a) Anlagenwerte als Basis für die kalkulatorischen Kosten 62 Die Gesuchstellerin hat für die Nachdeklaration Anlagerestwerte in der Höhe von […] Franken (2009), […] Franken (2010), […] Franken (2011), […] Franken (2012), […] Franken (2013) und […] Franken (2014) eingereicht (act. 2, Beilage 4, Tabellenblatt «Übersicht»). Diese Werte zeigten keine Auffällig- keiten. […] Tabelle 4 Anrechenbare Anlagerestwerte für die Jahre 2009–2014 KSL b) Kalkulatorische Abschreibungen 63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64 Gemäss Artikel 13 Absatz 2 StromVV berechnen sich die jährlichen kalkulatorischen Abschreibungen aufgrund der Anschaffungs- beziehungsweise Herstellkosten der bestehenden Anlagen bei linearer Abschreibung über eine festgelegte Nutzungsdauer auf den Restwert Null.</w:t>
      </w:r>
    </w:p>
    <w:p>
      <w:r>
        <w:t>12/17</w:t>
      </w:r>
    </w:p>
    <w:p>
      <w:r>
        <w:t>65 Die Gesuchstellerin hat für die Tarife 2009–2014 insgesamt […] Franken Abschreibungen eingereicht (act. 2, Beilage 4, Tabellenblatt «Übersicht»). Diese Werte zeigten keine Auffälligkeiten. […] Tabelle 5 Anrechenbare kalkulatorische Abschreibungen für die Jahre 2009–2014 KSL c) Kalkulatorische Zinsen 66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6 WACC für die Jahre 2009–2014 67 Die Gesuchstellerin macht unter Verwendung der jeweiligen Zinssätze gemäss Tabelle 6 für die Jahre 2009–2014 insgesamt kalkulatorische Zinsen von […] Franken geltend (act. 2, Beilage 4, Tabellenblatt «Übersicht»). Diese weisen keine Auffälligkeiten auf. Unter Berücksichtigung von Rundungsdifferen- zen sind insgesamt […] Franken kalkulatorische Zinskosten anrechenbar. […] Tabelle 7 Anrechenbare kalkulatorische Zinsen für die Jahre 2009–2014 KSL d) Kalkulatorisches Nettoumlaufvermögen 68 Neben den Anschaffungs- beziehungsweise Herstellrestwerten ist auch das betriebsnotwendige Nettoumlaufvermögen (NUV) bei der Berechnung der kalkulatorischen Zinsen zu berücksichtigen (Art. 13 Abs. 3 Bst. a Ziff. 2 StromVV). 69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70 Die Gesuchstellerin weist für die Jahre 2009–2014 NUV-Zinsen von […] Franken aus. Dabei wurde für das Jahr 2014 fälschlicherweise ein Zinssatz von 3.83% anstelle von 4,7% angewendet (act. 2, Beila- ge 4, Tabellenblatt «Übersicht»). Die Werte wurden entsprechend angepasst. Die Berechnung dieser Werte entspricht im Übrigen der vom Bundesgericht bestätigten Praxis der ElCom (vgl. Rz. 69).</w:t>
      </w:r>
    </w:p>
    <w:p>
      <w:r>
        <w:t>13/17</w:t>
      </w:r>
    </w:p>
    <w:p>
      <w:r>
        <w:t>[…] Tabelle 8 Anrechenbare NUV-Verzinsung für die Jahre 2009–2014 KSL</w:t>
      </w:r>
    </w:p>
    <w:p>
      <w:r>
        <w:rPr>
          <w:b/>
        </w:rPr>
        <w:t>E. 3.11.5</w:t>
      </w:r>
    </w:p>
    <w:p>
      <w:r>
        <w:t>Total anrechenbare Kosten Nachdeklaration 71 Aufgrund der obigen Erwägungen ergeben sich für die Gesuchstellerin aus der Nachdeklaration der Kosten für die Jahre 2009–2014 insgesamt anrechenbare Kosten in der Höhe von […] Franken: […] Tabelle 9 Anrechenbare Kosten insgesamt für die Jahre 2009–2014 KSL</w:t>
      </w:r>
    </w:p>
    <w:p>
      <w:r>
        <w:rPr>
          <w:b/>
        </w:rPr>
        <w:t>E. 3.12</w:t>
      </w:r>
    </w:p>
    <w:p>
      <w:r>
        <w:t>Erstattung der Differenz und Verzinsung</w:t>
      </w:r>
    </w:p>
    <w:p>
      <w:r>
        <w:rPr>
          <w:b/>
        </w:rPr>
        <w:t>E. 3.12.1</w:t>
      </w:r>
    </w:p>
    <w:p>
      <w:r>
        <w:t>Deckungsdifferenzen 72 Die Gesuchstellerin macht in ihrer Eingabe eine Verzinsung der Deckungsdifferenzen der Jahre 2009 bis 2014 geltend (act. 10, Antrag 2). 73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74 Der Gesuchstellerin muss demnach ein Differenzbetrag von […] Franken ausbezahlt werden (vgl. Tabelle 10).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10 Verzinsung des Differenzbetrages für die Jahre 2009–2014 KSL 75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76 In ihrer Stellungnahme vom 12. Juni 2015 macht die Verfahrensbeteiligte geltend, die Verzinsung der Deckungsdifferenzen mit der Methode t+2 sei sachlich nicht korrekt. Es sei keine Verzinsung zu ver-</w:t>
      </w:r>
    </w:p>
    <w:p>
      <w:r>
        <w:t>14/17</w:t>
      </w:r>
    </w:p>
    <w:p>
      <w:r>
        <w:t>fügen, solange die im Streit liegende anzuwendende Methodik für die Verzinsung von Deckungsdiffe- renzen vor Bundesgericht (Verfahren 2C_1076/2014) nicht geklärt sei (act. 19, Rz. 16 ff.). 77 Mit Urteil 2C_1076/2014 vom 4. Juni 2015 hat das Bundesgericht entschieden, dass die gemäss Weisung 1/2012 von der ElCom angewendete Verzinsungsmethodik korrekt ist (E. 4). Die ElCom hält daher in vorliegender Verfügung an ihren Ausführungen und ihrer Berechnung der Verzinsung der Deckungsdifferenzen fest. 78 Unter der Voraussetzung, dass die Verfahrensbeteiligte der Gesuchstellerin den Differenzbetrag von […] Franken nach Rechtskraft der vorliegenden Verfügung noch im Jahr 2015 bezahlen wird, beträgt die von der Verfahrensbeteiligten zu leistende Verzinsung […] Franken (vgl. Tabelle 10). Falls der Dif- ferenzbetrag von der Verfahrensbeteiligten zu einem späteren Zeitpunkt erstattet werden sollte, hat die Gesuchstellerin einen zusätzlichen Anspruch auf Verzinsung bis zum effektiven Zeitpunkt der Zah- lung.</w:t>
      </w:r>
    </w:p>
    <w:p>
      <w:r>
        <w:rPr>
          <w:b/>
        </w:rPr>
        <w:t>E. 3.12.2</w:t>
      </w:r>
    </w:p>
    <w:p>
      <w:r>
        <w:t>Anrechenbare Kosten Nachdeklaration einschliesslich Verzinsung 79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KSL 80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81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82 Die ElCom behält sich in Bezug auf die Vermeidung der Doppelverrechnung vor, zu einem späteren Zeitpunkt eine Prüfung durchzuführen.</w:t>
      </w:r>
    </w:p>
    <w:p>
      <w:r>
        <w:rPr>
          <w:b/>
        </w:rPr>
        <w:t>E. 4</w:t>
      </w:r>
    </w:p>
    <w:p>
      <w:r>
        <w:t>Bewertungsverfügung vom 20. September 2012 und Fest- legung des definitiven Übertragungswerts 83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w:t>
      </w:r>
    </w:p>
    <w:p>
      <w:r>
        <w:t>15/17</w:t>
      </w:r>
    </w:p>
    <w:p>
      <w:r>
        <w:t>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84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rPr>
          <w:b/>
        </w:rPr>
        <w:t>E. 5</w:t>
      </w:r>
    </w:p>
    <w:p>
      <w:r>
        <w:t>Gebühren 85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86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87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