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ELCOM kategorisierung-pv-anlage-ersatz-vertrauensschaden-221-00141-lvMlGj vom 14. Juni 2016</w:t>
      </w:r>
    </w:p>
    <w:p>
      <w:r>
        <w:t>ElCom, 2016-06-14, DE</w:t>
      </w:r>
    </w:p>
    <w:p>
      <w:r>
        <w:rPr>
          <w:b/>
        </w:rPr>
        <w:t xml:space="preserve">Quelle: </w:t>
      </w:r>
      <w:r>
        <w:t>https://mcp.opencaselaw.ch/entscheid/elcom_kategorisierung-pv-anlage-ersatz-vertrauensschaden-221-00141-lvMlGj</w:t>
      </w:r>
    </w:p>
    <w:p>
      <w:r>
        <w:t>FR: ELCOM kategorisierung-pv-anlage-ersatz-vertrauensschaden-221-00141-lvMlGj du 14 juin 2016</w:t>
      </w:r>
    </w:p>
    <w:p>
      <w:r>
        <w:t>IT: ELCOM kategorisierung-pv-anlage-ersatz-vertrauensschaden-221-00141-lvMlGj del 14 giugno 2016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Juni 1998 [EnG; SR 730.0] in Verbindung mit Ziff. 2.2 und Ziff. 3.1.1 des Anhangs 1.2 der Energie- verordnung vom 7. Dezember 1998 [EnV; SR 730.01]), dass die Gesuchstellerin gemäss Bundesverwaltungsgericht gestützt auf Artikel 9 der Schweizerischen Bundesverfassung vom 18. April 1999 (BV; SR 101) zusätzlich Anspruch auf eine einmalige, pauschale Entschädigung per Saldo aller Ansprüche in der Höhe von […] Franken gemäss nachfolgender Berech- nung hat (vgl. Urteil des Bundesverwaltungsgerichts vom 17. September 2015 im Verfahren A- 4730/2014, E. 8.1): Gesamtleistung Pauschale pro kWp Pauschale für PV-Anlage […] kWp Fr. 150.00 Fr. […] dass gemäss Bundesverwaltungsgericht ein enger sachlicher Zusammenhang zwischen der KEV und der zu leistenden Entschädigung besteht, weswegen der Ersatz des sogenannten Vertrauensschadens direkt aus dem KEV-Fonds gemäss Artikel 3k EnV zu leisten ist (vgl. Urteil des Bundesverwaltungsge- richts vom 17. September 2015 im Verfahren A-4730/2014, E. 8.4), dass die Gebühr zu bezahlen hat, wer eine Verfügung veranlasst (Art. 1 Abs. 3 der Verordnung über Gebühren und Aufsichtsabgaben im Energiebereich vom 22. November 2006 [GebV-En; SR 730.05] i. V. m. Art. 2 Abs. 1 der Allgemeinen Gebührenverordnung vom 8. September 2004 [AllgGebV; SR 172.041.1]), dass für den Fall, dass mehrere Parteien den Erlass einer Verfügung veranlasst haben, die dadurch entstandenen Gebühren nach dem Unterliegerprinzip auferlegt werden, was einem allgemeinen pro- zessualen Grundsatz entspricht, der für zahlreiche kostenpflichtige staatliche Verfahren üblich ist (siehe ALFRED KÖLZ/ISABELLE HÄNER/MARTIN BERTSCHI, Verwaltungsverfahren und Verwaltungsrechtspflege des Bundes, 3. Aufl., Zürich 2013, Rz. 351, Rz. 653; BGE 132 II 47 E. 3.3), dass gemäss ständiger Rechtsprechung des Bundesverwaltungsgerichts die Verfahrensbeteiligte im Falle ihres Unterliegens grundsätzlich die Verfahrenskosten zu tragen hat (vgl. Urteil des Bundesver- waltungsgerichts A-2768/2014 vom 30. August 2015, E. 6), dass gemäss Artikel 4 Absatz 2 GebV-En die Gebühren aus wichtigen Gründen herabgesetzt oder er- lassen werden können, dass unter Berücksichtigung der gesamten Umstände für das vorliegende Verfahren keine Gebühren erhoben werden.</w:t>
      </w:r>
    </w:p>
    <w:p>
      <w:r>
        <w:t>4/5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