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25-0064-0C4hFM vom 20. Oktober 2016</w:t>
      </w:r>
    </w:p>
    <w:p>
      <w:r>
        <w:t>ElCom, 2016-10-20, DE</w:t>
      </w:r>
    </w:p>
    <w:p>
      <w:r>
        <w:rPr>
          <w:b/>
        </w:rPr>
        <w:t xml:space="preserve">Quelle: </w:t>
      </w:r>
      <w:r>
        <w:t>https://mcp.opencaselaw.ch/entscheid/elcom_25-0064-0C4hFM</w:t>
      </w:r>
    </w:p>
    <w:p>
      <w:r>
        <w:t>FR: ELCOM 25-0064-0C4hFM du 20 octobre 2016</w:t>
      </w:r>
    </w:p>
    <w:p>
      <w:r>
        <w:t>IT: ELCOM 25-0064-0C4hFM del 20 ottobre 2016</w:t>
      </w:r>
    </w:p>
    <w:p>
      <w:pPr>
        <w:pStyle w:val="Heading2"/>
      </w:pPr>
      <w:r>
        <w:t>Erwägungen</w:t>
      </w:r>
    </w:p>
    <w:p>
      <w:r>
        <w:rPr>
          <w:b/>
        </w:rPr>
        <w:t>E. 1</w:t>
      </w:r>
    </w:p>
    <w:p>
      <w:r>
        <w:t>Zuständigkeit 20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21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Anlagewerts des Übertragungs- netzes. 22 Die Stromversorgungsgesetzgebung enthält ferner verschiedene Vorgaben zur Zusammensetzung des Netznutzungsentgelts und damit der anrechenbaren Kosten (Art. 14 StromVG; Art. 15 StromVG; Art. 12–19 StromVV). Die vorliegende Verfügung betrifft auch die Nachdeklaration von anrechenbaren Kosten gegenüber der Verfahrensbeteiligten. 23 Die ElCom ist somit zuständig, die vorliegende Verfügung zu erlassen. Die ElCom erlässt diese Verfügung auf Antrag der Gesuchstellerin.</w:t>
      </w:r>
    </w:p>
    <w:p>
      <w:r>
        <w:rPr>
          <w:b/>
        </w:rPr>
        <w:t>E. 2</w:t>
      </w:r>
    </w:p>
    <w:p>
      <w:r>
        <w:t>Parteien und rechtliches Gehör</w:t>
      </w:r>
    </w:p>
    <w:p>
      <w:r>
        <w:rPr>
          <w:b/>
        </w:rPr>
        <w:t>E. 2.1</w:t>
      </w:r>
    </w:p>
    <w:p>
      <w:r>
        <w:t>Parteien 24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25 Die Gesuchstellerin hat bei der ElCom ein Gesuch um Erlass einer Verfügung eingereicht. Sie ist somit materielle Verfügungsadressatin. Ihr kommt Parteistellung gemäss Artikel 6 VwVG zu. 26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(vgl. Rz. 12).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7/19</w:t>
      </w:r>
    </w:p>
    <w:p>
      <w:r>
        <w:rPr>
          <w:b/>
        </w:rPr>
        <w:t>E. 2.2</w:t>
      </w:r>
    </w:p>
    <w:p>
      <w:r>
        <w:t>Rechtliches Gehör 27 Den Parteien wurde im vorliegenden Verfahren Gelegenheit zur Stellungnahme gegeben. Insbeson- dere wurde ihnen ein Entwurf der vorliegenden Verfügung zur Stellungnahme unterbreitet (act. 12 und 13). Die Parteien nahmen mit Eingaben vom 18. Juli 2016 und 25. Juli 2016 zum Verfügungsentwurf Stellung (act. 14 und 17). 28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29 Im Rahmen des Projektes GO+! hat die Projektleitung GO+! in Absprache mit den SE 2015 ein Anlagegitter einschliesslich Testat der Revisionsstelle eingereicht, welches die Anlagen auflistet, die übertragen werden sollen oder per Anfang 2016 bereits übertragen wurden (act. 9). Die ElCom hat die für die vorliegende Bewertungsverfügung geltend gemachten Anlagen soweit möglich mit dem Über- tragungsinventar verglichen, um die Übereinstimmung mit den Inventaren sicherzustellen. 30 Die Verfahrensbeteiligte macht in ihrer Stellungnahme geltend, es sei ihr unklar, weshalb der ElCom kein vollständiger Vergleich zwischen der Beilage 1 zum Sacheinlagevertrag (Liste aller Anlagen, wel- che von der Sacheinlegerin an die Verfahrensbeteiligte verkauft werden) und dem Antrag der Ge- suchstellerin möglich war (vgl. Formulierung «soweit möglich» in Rz. 29). Da in vorliegendem Verfah- ren keine regulatorischen Anlagewerte für nicht auf die Verfahrensbeteiligte überführte Anlagen festgelegt werden können, sollte gemäss Verfahrensbeteiligte kein Raum für eine solche Möglichkeit bestehen (act. 14, Rz. 9). 31 Gegenstand der vorliegenden Verfügung ist die Festsetzung der regulatorischen Anlagewerte im Zeitpunkt der Überführung der Übertragungsnetzanlagen von der Gesuchstellerin auf die Verfahrens- beteiligte. Dabei werden provisorische regulatorische Werte und nicht Anlagen verfügt. Die Inventari- sierung der Anlagen, die Vornahme der Due Diligences usw. obliegt den Parteien. Die ElCom nimmt daher lediglich eine Plausibilisierung des Mengengerüstes und der Abgrenzung der überführten Anla- gen (Übertragungsnetz vs. Verteilnetz) wie von den Parteien vorgelegt vor. Eine weitergehende Prü- fung erfolgt seitens der ElCom wie bereits bei den Sacheinlegerinnen in den früheren Jahren nicht.</w:t>
      </w:r>
    </w:p>
    <w:p>
      <w:r>
        <w:rPr>
          <w:b/>
        </w:rPr>
        <w:t>E. 3.2</w:t>
      </w:r>
    </w:p>
    <w:p>
      <w:r>
        <w:t>Abgrenzung der Anlagen aus dem Übertragungsnetz 32 Um die Bewertung vorzunehmen, ist eine Abgrenzung der Anlagen aus dem Übertragungsnetz notwendig. Die eingereichten Anlagewerte müssen bereinigt werden um Anlagen, welche dem Ver- teilnetz oder Kraftwerken zuzurechnen sind. Diese Abgrenzung hat aufgrund von sachlichen Kriterien durch die Ausscheidung der Anlagen der Netzebene 1 in der Anlagebuchhaltung des Unternehmens zu erfolgen. 33 Die Gesuchstellerin hat diese Aufteilung vorgenommen (act. 7, Beilage 3b, Frage 2).</w:t>
      </w:r>
    </w:p>
    <w:p>
      <w:r>
        <w:rPr>
          <w:b/>
        </w:rPr>
        <w:t>E. 3.3</w:t>
      </w:r>
    </w:p>
    <w:p>
      <w:r>
        <w:t>Anlagen im Bau 34 Kosten für lediglich geplante Anlagen sind nicht als Anlagen im Bau anrechenbar (siehe Urteil des Bundesverwaltungsgerichts vom 20. Juni 2013, A-2876/2010, E. 6.4). Die eingereichten Anlagewerte dürfen daher keine solchen Positionen enthalten.</w:t>
      </w:r>
    </w:p>
    <w:p>
      <w:r>
        <w:t>8/19</w:t>
      </w:r>
    </w:p>
    <w:p>
      <w:r>
        <w:t>35 Anlagen im Bau können nach Massgabe der vertraglichen Vereinbarungen zwischen der Gesuchstel- lerin und der Verfahrensbeteiligten für die Übertragung berücksichtigt werden. 36 Die Gesuchstellerin hat per 31.12.2015 für die Übertragung Anlagen in Bau im Wert von […] Franken deklariert (act. 7, Beilage 3b, Frage 4). Die Werte zeigten keine Auffälligkeiten.</w:t>
      </w:r>
    </w:p>
    <w:p>
      <w:r>
        <w:rPr>
          <w:b/>
        </w:rPr>
        <w:t>E. 3.4</w:t>
      </w:r>
    </w:p>
    <w:p>
      <w:r>
        <w:t>Netzkäufe 37 Für die Bewertung von Anlagen sind Kaufpreise nicht relevant (BGE 140 II 415, E. 5.9). Alle Anlage- werte sind daher von Kaufpreisen zu bereinigen und es sind die ursprünglichen Anschaffungs- und Herstellkosten gemäss Artikel 15 StromVG einzusetzen. Gegebenenfalls ist ausnahmsweise eine syn- thetische Bewertung vorzunehmen (Art. 13 Abs. 4 StromVV). 38 Die SE 2015 wurden bezüglich ihrer Anlagewerte gefragt, ob ihre Deklarationen der Anlagewerte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39 Die Gesuchstellerin hat nach eigenen Angaben keine Netzkäufe von Dritten oder kaufähnliche Ausgliederungen von Anlagen innerhalb des Konzerns vorgenommen (act. 7, Beilage 3b, Fragen 5 und 6).</w:t>
      </w:r>
    </w:p>
    <w:p>
      <w:r>
        <w:rPr>
          <w:b/>
        </w:rPr>
        <w:t>E. 3.5</w:t>
      </w:r>
    </w:p>
    <w:p>
      <w:r>
        <w:t>Bewertung von Grundstücken 40 In seinem Urteil vom 7. Mai 2013 im Verfahren A-2654/2009 kommt das Bundesverwaltungsgericht zum Schluss, dass es sich bei der synthetischen Bewertung um eine Ausnahmemethode handelt, die nur dann angewendet werden darf,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41 Bei Grundstücken gelten die ursprünglichen Anschaffungswerte.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42 Die Gesuchstellerin hat das Grundstück «[…]» übertragen. Für dieses im ursprünglichen Antrag synthetisch bewerte Grundstück wurde im Nachhinein von der Gesuchstellerin der effektive histori- sche Kaufpreis ermittelt (act. 11). Das Grundstück wurde deshalb mit einer entsprechenden Bewer- tungskorrektur ins historische Anlagevermögen überführt (act. 7, Beilage 3b, Frage 7).</w:t>
      </w:r>
    </w:p>
    <w:p>
      <w:r>
        <w:rPr>
          <w:b/>
        </w:rPr>
        <w:t>E. 3.6</w:t>
      </w:r>
    </w:p>
    <w:p>
      <w:r>
        <w:t>Zahlungen Dritter 43 Bei Anlagen, welche ganz oder teilweise von Dritten bezahlt wurden, ist eine entsprechende Bereini- gung vorzunehmen. Die betroffenen Werte sind vorzugsweise nach der Bruttomethode jeweils positiv (für den Anlagewert) oder negativ (für den entsprechenden Fremdanteil) auszuweisen. Durch Dritte finanzierte Anlagen dürfen nicht dem regulatorischen Anlagewert zugerechnet werden.</w:t>
      </w:r>
    </w:p>
    <w:p>
      <w:r>
        <w:t>9/19</w:t>
      </w:r>
    </w:p>
    <w:p>
      <w:r>
        <w:t>44 Die Gesuchstellerin bestätigt, dass für die übertragenen Anlagen keine Zahlungen von Dritten erfolgt sind (act. 7, Beilage 3b, Frage 14).</w:t>
      </w:r>
    </w:p>
    <w:p>
      <w:r>
        <w:rPr>
          <w:b/>
        </w:rPr>
        <w:t>E. 3.7</w:t>
      </w:r>
    </w:p>
    <w:p>
      <w:r>
        <w:t>Abschreibungen 45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vorgenommen werden. 46 Die Gesuchstellerin hat für die Anlagen 100101/0 und 100101/1 mit 80 Jahren eine zu lange Ab- schreibedauer verwendet. Gemäss VSE-Richtlinien beträgt die Abschreibedauer für diese Anlage- klassen 55 Jahre. Nach Rücksprache mit der Gesuchstellerin wurde die Abschreibedauer entspre- chend angepasst (vgl. act. 10). Aufgrund der neu kürzeren Abschreibedauer fallen die jährlichen Abschreiberaten höher aus. 47 Die Verfahrensbeteiligte hat darauf hingewiesen, dass die Anlagen 100110/0 und 100112/0 nicht linear über die Nutzungsdauer von 40 Jahre abgeschrieben worden seien (vgl. act. 14 Rz. 14 ff.). Fer- ner müsse die abgelaufene Nutzungsdauer für die Anlage 100112/0 statt 1.5 bzw. 2 Jahren 2.5 Jahre betragen (act. 22 Ziff. 1 zweiter Absatz). 48 Die lineare Abschreibung wurde nun vorgenommen und die jährlichen Abschreibungen bzw. die daraus folgenden Anlagerestwerte wurden unter Verwendung der 2.5 Jahre entsprechend neu be- rechnet (act. 24 und 25).</w:t>
      </w:r>
    </w:p>
    <w:p>
      <w:r>
        <w:rPr>
          <w:b/>
        </w:rPr>
        <w:t>E. 3.8</w:t>
      </w:r>
    </w:p>
    <w:p>
      <w:r>
        <w:t>Historische Bewertung</w:t>
      </w:r>
    </w:p>
    <w:p>
      <w:r>
        <w:rPr>
          <w:b/>
        </w:rPr>
        <w:t>E. 3.8.1</w:t>
      </w:r>
    </w:p>
    <w:p>
      <w:r>
        <w:t>Grundsätze zur historischen Bewertung 49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50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51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t>10/19</w:t>
      </w:r>
    </w:p>
    <w:p>
      <w:r>
        <w:rPr>
          <w:b/>
        </w:rPr>
        <w:t>E. 3.8.2</w:t>
      </w:r>
    </w:p>
    <w:p>
      <w:r>
        <w:t>Historische Bewertung der Anlagen 52 Mit Schreiben vom 5. April 2016 macht die Gesuchstellerin Restwerte per 31. Dezember 2015 in der Höhe von insgesamt […] Franken geltend (act. 7, Beilage 3a, Tabellenblatt «Übersicht»). Dieser Wert wurde infolge der zu langen Abschreibung und der Überführung des Grundstücks ins historische An- lagevermögen korrigiert (vgl. Rz. 42 und 45 ff.) und beträgt neu […] Franken. […] Tabelle 1 Anrechenbare historische Restwerte per 31.12.2015 FMHL</w:t>
      </w:r>
    </w:p>
    <w:p>
      <w:r>
        <w:rPr>
          <w:b/>
        </w:rPr>
        <w:t>E. 3.9</w:t>
      </w:r>
    </w:p>
    <w:p>
      <w:r>
        <w:t>Synthetische Bewertung</w:t>
      </w:r>
    </w:p>
    <w:p>
      <w:r>
        <w:rPr>
          <w:b/>
        </w:rPr>
        <w:t>E. 3.9.1</w:t>
      </w:r>
    </w:p>
    <w:p>
      <w:r>
        <w:t>Grundsätze zur synthetischen Bewertung 53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3.9.2</w:t>
      </w:r>
    </w:p>
    <w:p>
      <w:r>
        <w:t>Synthetische Bewertung der Anlagen 54 Die Gesuchstellerin macht nur das Grundstück als synthetischen Wert geltend. Durch die erwähnte Überführung des Grundstücks in das historische Anlagevermögen werden keine synthetischen Werte übertragen (vgl. Rz. 42). Entsprechend sind die zugehörigen Tabellenspalten in der nachfolgenden Tabelle 2 leer.</w:t>
      </w:r>
    </w:p>
    <w:p>
      <w:r>
        <w:rPr>
          <w:b/>
        </w:rPr>
        <w:t>E. 3.10</w:t>
      </w:r>
    </w:p>
    <w:p>
      <w:r>
        <w:t>Anlagewerte insgesamt 55 Insgesamt ergeben sich für die Gesuchstellerin aus obigen Ausführungen folgende regulatorischen Anlagewerte als Basis für die Festsetzung des Übertragungswertes. […] Tabelle 2 Anrechenbare Restwerte insgesamt für die Überführung per 31.12.2015 FMHL 56 Die Gesuchstellerin stellt den Antrag, der regulatorische Anlagewert per 31. Dezember 2015 sei ihr in bar abzugelten (act. 7, Antrag 1b). Gemäss Artikel 33 Absatz 4 StromVG werden den Elektrizitätsver- sorgungsunternehmen, die das Übertragungsnetz auf die nationale Netzgesellschaft überführen, Ak- tien an der Netzgesellschaft und allenfalls andere Rechte zugewiesen. Im Rahmen der Überführung des Übertragungsnetzes auf die Verfahrensbeteiligte wurden die ehemaligen Eigentümer jeweils zu 30 Prozent mit Aktien der Verfahrensbeteiligten, zu 35 Prozent mit einem Pflichtwandeldarlehen sowie zu 35 Prozent mit einem Darlehen abgegolten.</w:t>
      </w:r>
    </w:p>
    <w:p>
      <w:r>
        <w:t>11/19</w:t>
      </w:r>
    </w:p>
    <w:p>
      <w:r>
        <w:t>57 Eine Entschädigung in bar würde mithin Artikel 33 Absatz 4 StromVG verletzen, welcher eine Abgel- tung in Aktien und allenfalls anderen Rechten vorsieht. Zudem wurde diese Entschädigungsform unter Begleitung der ElCom zwischen der Verfahrensbeteiligten und den betroffenen Eigentümern des Übertragungsnetzes vereinbart (vgl. Verfügung der ElCom 25-00003 vom 20. September 2012). Der Antrag auf Entschädigung in bar ist deshalb abzuweisen.</w:t>
      </w:r>
    </w:p>
    <w:p>
      <w:r>
        <w:rPr>
          <w:b/>
        </w:rPr>
        <w:t>E. 3.11</w:t>
      </w:r>
    </w:p>
    <w:p>
      <w:r>
        <w:t>Nachdeklaration Kosten</w:t>
      </w:r>
    </w:p>
    <w:p>
      <w:r>
        <w:rPr>
          <w:b/>
        </w:rPr>
        <w:t>E. 3.11.1</w:t>
      </w:r>
    </w:p>
    <w:p>
      <w:r>
        <w:t>Grundsätzliches 58 Durch die neue Zuteilung von Netzkomponenten zum Übertragungsnetz haben diverse Unternehmen die Gelegenheit wahrgenommen, anrechenbare Kosten im Nachhinein geltend zu machen. 59 Aufgrund des umfangreichen Zahlenmaterials sind die Details zu den Berechnungen in den beiliegen- den Tabellenblättern enthalten. In der vorliegenden Verfügung beschränkt sich die ElCom darauf, die eingereichten und die anrechenbaren Werte wiederzugeben. 60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61 Die Gesuchstellerin hat mit Schreiben vom 5. April 2016 Kosten für die Anlagen der Netzebene 1 für die Jahre 2009 bis 2015 beantragt (act. 7, Antrag 2a). 62 Vorliegend geht es somit um die Nachdeklaration betreffend die Tarifjahre 2009 bis 2015.</w:t>
      </w:r>
    </w:p>
    <w:p>
      <w:r>
        <w:rPr>
          <w:b/>
        </w:rPr>
        <w:t>E. 3.11.3</w:t>
      </w:r>
    </w:p>
    <w:p>
      <w:r>
        <w:t>Nachdeklaration Betriebskosten 63 Die Gesuchstellerin macht für die Jahre 2009 bis 2015 Betriebskosten in der Höhe von insgesamt […] Franken geltend (act. 7, Beilage 3a, Tabellenblatt «Übersicht»). Diese Werte zeigten keine Auffällig- keiten. 64 Insgesamt sind damit für die Gesuchstellerin für die Jahre 2009 bis 2015 Betriebskosten in der Höhe von […] Franken anrechenbar: […] Tabelle 3 Anrechenbare Betriebskosten für die Jahre 2009–2015 FMHL</w:t>
      </w:r>
    </w:p>
    <w:p>
      <w:r>
        <w:rPr>
          <w:b/>
        </w:rPr>
        <w:t>E. 3.11.4</w:t>
      </w:r>
    </w:p>
    <w:p>
      <w:r>
        <w:t>Nachdeklaration Kapitalkosten a) Anlagewerte als Basis für die kalkulatorischen Kosten 65 Die Gesuchstellerin hat für die Nachdeklaration jeweils per 31.12. Anlagerestwerte in der Höhe von […] Franken (2009), […] Franken (2010), […] Franken (2011), […] Franken (2012), […] Franken (2013), […] Franken (2014) und […] Franken (2015) eingereicht (act. 7, Beilage 3a, Tabellenblatt</w:t>
      </w:r>
    </w:p>
    <w:p>
      <w:r>
        <w:t>12/19</w:t>
      </w:r>
    </w:p>
    <w:p>
      <w:r>
        <w:t>«Übersicht»). Diese Werte wurden aufgrund der Korrektur der Abschreibungen und der Überführung des Grundstücks in das historische Anlagevermögen angepasst (vgl. Rz. 42 und 45 f.): […] Tabelle 4 Anrechenbare Anlagerestwerte für die Jahre 2009–2015 FMHL b) Kalkulatorische Abschreibungen 66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67 Gemäss Artikel 13 Absatz 2 StromVV berechnen sich die jährlichen kalkulatorischen Abschreibungen aufgrund der Anschaffungs- beziehungsweise Herstellkosten der bestehenden Anlagen bei linearer Abschreibung über eine festgelegte Nutzungsdauer auf den Restwert Null. 68 Die Gesuchstellerin hat für die Tarifjahre 2009 bis 2015 insgesamt […] Franken Abschreibungen eingereicht (act. 7, Beilage 3a, Tabellenblatt «Übersicht»). Diese Werte wurden wie bereits erwähnt um die Abschreibedauer korrigiert (vgl. Rz. 45 f.) und betragen neu […] Franken. […] Tabelle 5 Anrechenbare kalkulatorische Abschreibungen für die Jahre 2009–2015 FMHL c) Kalkulatorische Zinsen 69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Tabelle 6 WACC für die Jahre 2009–2017 70 Die Gesuchstellerin macht für die Jahre 2009 bis 2015 insgesamt kalkulatorische Zinsen von […] Franken geltend (act. 7, Beilage 3a, Tabellenblatt «Übersicht»). Diese Werte verändern sich durch die Korrektur der Abschreibungen bzw. der entsprechenden Anlagerestwerte (vgl. Rz. 42 und 45 f.). Jahr nicht reduziert reduziert 2009 4.55% 3.55% 2010 4.55% 3.55% 2011 4.25% 3.25% 2012 4.14% 3.14% 2013 3.83% 2.83% 2014 4.70% n.a. 2015 4.70% n.a. 2016 4.70% n.a. 2017 3.83% n.a.</w:t>
      </w:r>
    </w:p>
    <w:p>
      <w:r>
        <w:t>13/19</w:t>
      </w:r>
    </w:p>
    <w:p>
      <w:r>
        <w:t>71 Die Gesuchstellerin hat für die Verzinsung des historisch bewerteten Anlagevermögens mit Zugang vor 2004 den vollen Zins verwendet. Der Zinssatz wurde in Anwendung von Artikel 13 Absatz 3 Buch- stabe b i.V.m Artikel 31a Absatz 1 StromVV für die Jahre 2009 bis 2013 um 1 Prozentpunkt reduziert. Die anrechenbaren kalkulatorischen Zinsen betragen somit […] Franken. […] Tabelle 7 Anrechenbare kalkulatorische Zinsen für die Jahre 2009–2015 FMHL 72 Die Gesuchstellerin beantragt in ihrer Stellungnahme für die Jahre 2009 bis 2013 die Verwendung des nicht-reduzierten WACC im Sinne von Artikel 13 Absatz 3 Buchstabe b i.V.m Artikel 31a Absatz 2 StromVV. Dies mit der Begründung, dass für die Anlagen keine Neubewertung vorgenommen worden sei und die Anlagen linear mit einer sachgerechten Nutzungsdauer abgeschrieben worden seien (act. 17). 73 Gemäss Artikel 31a Absatz 1 StromVV liegt der Zinssatz für die betriebsnotwendigen Vermögenswer- te für Anlagen, die vor dem 1. Januar 2004 in Betrieb genommen wurden, für die Jahre 2009 bis 2013 um einen Prozentpunkt tiefer als der Zinssatz nach Artikel 13 Absatz 3 Buchstabe b StromVV. Ge- mäss Artikel 31a Absatz 2 StromVV können Netzbetreiber für Anlagen, für die keine Neubewertung vollzogen wurde, oder die über eine nach Artikel 13 Absatz 1 StromVV festgelegte, einheitliche und sachgerechte Nutzungsdauer linear abgeschrieben wurden, bei der ElCom die Verwendung des Zins- satzes ohne Reduktion beantragen. Der Nachweis über das Vorhandensein der Voraussetzungen für die Verwendung des nicht-reduzierten Zinssatzes hat nach den allgemeinen Beweislastregeln die Ge- suchstellerin zu erbringen. 74 Gemäss Bundesgericht müssen die Voraussetzungen nach Artikel 31a Absatz 2 StromVV nicht kumulativ, sondern alternativ erfüllt sein. Demnach ist der nicht reduzierte Zinssatz anwendbar, wenn die Anlagen entweder keine Neubewertung erfuhren oder mindestens über eine nach Artikel 13 Ab- satz 1 StromVV festgelegte, einheitliche und sachgerechte Nutzungsdauer linear abgeschrieben wur- den. Hat die Neubewertung auch eine Aufwertung zur Folge, so überlagern sich die Voraussetzungen weitgehend: Wurde eine Aufwertung vorgenommen und wird in der Folge nach den gleichen Grunds- ätzen wie vorher, aber jetzt von den aufgewerteten Werten abgeschrieben, so sind die jährlichen Ab- schreibungen nach der Aufwertung höher als vorher. Damit kann nicht mehr von einer linearen Ab- schreibung vor und nach dem Aufwertungszeitpunkt gesprochen werden. Gemäss Bundesgericht ist Artikel 31a StromVV überdies verfassungs- und gesetzeskonform und nicht nur bei Verwendung der synthetischen Methode anwendbar, sondern auch in anderen Fällen der Aufwertung (vgl. zum Ganzen Urteil 2C_222/2011 vom 3. Juli 2012, E. 4.6 und 5.1). 75 Zur Beantwortung der Frage, ob vorliegend die Anlagen im Sinne von Artikel 31a Absatz 2 StromVV neu bewertet worden sind, müssen die berechneten Anlagewerte mit den Anlagewerten verglichen werden, welche in der Finanzbuchhaltung aufgeführt waren. Sind die neu berechneten Anlagewerte höher als die in der Finanzbuchhaltung aufgeführten Werte, wurden die Anlagen im Sinne von Artikel 31a Absatz 2 StromVV neu bewertet bzw. aufgewertet. In diesem Fall ist der reduzierte Zinssatz an- zuwenden. 76 Das Gesuch der Gesuchstellerin um Verwendung des nicht-reduzierten Zinssatzes wurde vorliegend anhand der im Rahmen des vorliegenden Verfahrens eingereichten Unterlagen (insbesondere Erhe- bungsbogen und Anlagegitter mit Testat der Buchwerte) beurteilt. 77 Für die Feststellung, ob die historischen Werte aufgewertet wurden, wurden die Restwerte per 31.12.2015 der vor 2004 erstellten Anlagen mit den Buchwerten per 31.12.2015 im sogenannten «An- lagegitter (Beilage AuP-Bericht)» verglichen (siehe act. 9). Die Werte gemäss Spalte «Finanzbuchhal- tung» sind durchwegs tiefer als die Restwerte per 31.12.2015, welche als regulatorische Anlagewerte</w:t>
      </w:r>
    </w:p>
    <w:p>
      <w:r>
        <w:t>14/19</w:t>
      </w:r>
    </w:p>
    <w:p>
      <w:r>
        <w:t>mit dem Erhebungsbogen (act. 7, Beilage 3a, Tabellenblatt «K-1 historisch 2015») eingereicht wur- den. Die historisch bewerteten Anlagen wurden somit aufgewertet. 78 Dem Gesuch um Verwendung des nicht-reduzierten Zinssatzes gemäss Artikel 31a Absatz 2 StromVV kann aus obigen Gründen für die Anlagen mit Zugang vor 2004 nicht entsprochen werden. Der ent- sprechende Antrag wird abgewiesen. d) Kalkulatorisches Nettoumlaufvermögen 79 Neben den Anschaffungs- beziehungsweise Herstellrestwerten ist auch das betriebsnotwendige Nettoumlaufvermögen (NUV) bei der Berechnung der kalkulatorischen Zinsen zu berücksichtigen (Art. 13 Abs. 3 Bst. a Ziff. 2 StromVV). 80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Rz. 69) verzinst. Der NUV-Zins selber wird ebenfalls verzinst (vgl. Verfü- gung der ElCom vom 6. März 2009 [952-08-005], S. 39 f.). Diese Praxis wurde vom Bundesgericht bestätigt (siehe BGE 138 II 465, E. 9). 81 Die Gesuchstellerin weist für die Jahre 2009 bis 2015 NUV-Zinsen von […] Franken aus (act. 7, Beilage 3a, Tabellenblatt «Übersicht»). Die Werte verändern sich durch die bereits erwähnten Korrek- turen (Abschreibedauer und Überführung Grundstück ins historische Anlagevermögen, vgl. Rz. 42 und 45 f.) und betragen neu […] Franken. Die Berechnung entspricht im Übrigen der vom Bundesgericht bestätigten Praxis der ElCom (vgl. Rz. 80). […] Tabelle 8 Anrechenbare NUV-Verzinsung für die Jahre 2009–2015 FMHL</w:t>
      </w:r>
    </w:p>
    <w:p>
      <w:r>
        <w:rPr>
          <w:b/>
        </w:rPr>
        <w:t>E. 3.11.5</w:t>
      </w:r>
    </w:p>
    <w:p>
      <w:r>
        <w:t>Total anrechenbare Kosten Nachdeklaration 82 Aufgrund der obigen Erwägungen ergeben sich für die Gesuchstellerin aus der Nachdeklaration der Kosten für die Jahre 2009 bis 2015 insgesamt anrechenbare Kosten in der Höhe von […] Franken: […] Tabelle 9 Anrechenbare Kosten insgesamt für die Jahre 2009–2015 FMHL</w:t>
      </w:r>
    </w:p>
    <w:p>
      <w:r>
        <w:rPr>
          <w:b/>
        </w:rPr>
        <w:t>E. 3.12</w:t>
      </w:r>
    </w:p>
    <w:p>
      <w:r>
        <w:t>Erstattung der Differenz und Verzinsung</w:t>
      </w:r>
    </w:p>
    <w:p>
      <w:r>
        <w:rPr>
          <w:b/>
        </w:rPr>
        <w:t>E. 3.12.1</w:t>
      </w:r>
    </w:p>
    <w:p>
      <w:r>
        <w:t>Deckungsdifferenzen 83 Die Gesuchstellerin macht in ihrer Eingabe eine Verzinsung der Deckungsdifferenzen der Jahre 2009 bis 2015 geltend (act. 7, Beilage 3c). 84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w:t>
      </w:r>
    </w:p>
    <w:p>
      <w:r>
        <w:t>15/19</w:t>
      </w:r>
    </w:p>
    <w:p>
      <w:r>
        <w:t>85 Die Urteile betreffend die Abgrenzung des Übertragungsnetzes (Urteile des Bundesverwaltungsge- richts vom Juli 2011 in den Verfahren A-8884/2010, A-95/2011, A-102/2011, A-119/2011, A-120/2011, A-124/2011, A-157/2011) sowie die teilweise Wiedererwägung der ElCom (Verfügung 921-10-005 vom 15. August 2013) haben zur Folge, dass sich die anrechenbaren Kosten in den Tarifjahren 2009 bis 2015 zugunsten der Gesuchstellerin nachträglich erhöhten. Dadurch entsteht für die Gesuchstelle- rin eine Unterdeckung für die Tarifjahre 2009 bis 2015. Die Gesuchstellerin ist so zu stellen, wie wenn von Anfang an die höheren Werte gegolten hätten. 86 Der Gesuchstellerin muss ein Differenzbetrag von […] Franken ausbezahlt werden (vgl. Tabelle 9). 87 Die Gesuchstellerin kann damit diese Unterdeckung bei der Verfahrensbeteiligten nachträglich einfordern. Gemäss der Weisung 1/2012 der ElCom sind derartige Deckungsdifferenzen mit dem WACC zu verzinsen. Als massgeblicher Zinssatz kommt der WACC jenes Geschäftsjahres zur An- 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10 Verzinsung des Differenzbetrages für die Jahre 2009–2015 FMHL 88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89 Unter der Voraussetzung, dass die Verfahrensbeteiligte der Gesuchstellerin den Differenzbetrag von […] Franken nach Rechtskraft der vorliegenden Verfügung noch im Jahr 2016 bezahlen wird, beträgt die von der Verfahrensbeteiligten zu leistende Verzinsung der Deckungsdifferenzen […] Franken (vgl. Tabelle 10). Falls der Differenzbetrag von der Verfahrensbeteiligten zu einem späteren Zeitpunkt er- stattet werden sollte, hat die Gesuchstellerin einen zusätzlichen Anspruch auf Verzinsung gemäss Weisung 1/2012 bzw. Berechnung in Tabelle 10 jeweils bezogen auf volle Jahre (keine unterjährige Verzinsung; Verzinsung bis 31.12. des der Auszahlung vorangehenden Jahres). 90 Die Verfahrensbeteiligte macht in ihrer Stellungnahme geltend, mit ihrer Formulierung nehme die ElCom eine Praxisänderung vor. Bisher sei jeweils die Formulierung «bis zum effektiven Zeitpunkt der Zahlung» verwendet worden. Ferner könne die neue Formulierung «Anspruch auf Verzinsung […] je- weils bezogen auf volle Jahre (keine unterjährige Verzinsung)» missverstanden werden (act. 14, Rz. 18 ff.). 91 Vorliegend handelt es sich nicht um eine Praxisänderung der ElCom. Die Verzinsung der Deckungs- differenzen hatte schon immer über volle Geschäftsjahre zu erfolgen. Dies hat die ElCom in ihrer Wei- sung 1/2012, mit der Formulierung «eines Geschäftsjahres» (vgl. Rz. 88) sowie mit der konkreten Be- rechnungsmethodik bei der Verzinsung der Deckungsdifferenzen (vgl. Tabelle 10) eindeutig zum Ausdruck gebracht. In diesem Lichte ist denn auch die Formulierung «bis zum effektiven Zeitpunkt der Zahlung» zu verstehen. 92 Wie Tabelle 10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 93 Eine unterjährige Verzinsung von Differenzbeträgen ist aufgrund des Gesagten somit ausgeschlossen und kann auch nicht aus früheren Verfügungen der ElCom herausgelesen werden. Der neue Zusatz</w:t>
      </w:r>
    </w:p>
    <w:p>
      <w:r>
        <w:t>16/19</w:t>
      </w:r>
    </w:p>
    <w:p>
      <w:r>
        <w:t>«keine unterjährige Verzinsung; Verzinsung bis 31.12. des der effektiven Auszahlung vorangehenden Jahres» (vgl. Rz. 88) dient in diesem Sinne lediglich der Klarstellung.</w:t>
      </w:r>
    </w:p>
    <w:p>
      <w:r>
        <w:rPr>
          <w:b/>
        </w:rPr>
        <w:t>E. 3.12.2</w:t>
      </w:r>
    </w:p>
    <w:p>
      <w:r>
        <w:t>Anrechenbare Kosten Nachdeklaration einschliesslich Verzinsung 94 Insgesamt ergeben sich damit für die Gesuchstellerin aus der Nachdeklaration der Kosten für die Jahre 2009 bis 2015 einschliesslich der entsprechenden Verzinsung bis zum 31.12.2015 anrechenba- re Kosten in der Höhe von […] Franken. […] Tabelle 11 Anrechenbare Kosten Nachdeklaration einschliesslich Verzinsung für die Jahre 2009– 2015 FMHL 95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96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solche Anlagen,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die Verfahrensbeteiligte erfolgt. In der gleichen Weise ist auch die Verzin- sung der Deckungsdifferenzen zu behandeln. 97 Die ElCom behält sich in Bezug auf die Vermeidung der Doppelverrechnung vor, zu einem späteren Zeitpunkt eine Prüfung durchzuführen.</w:t>
      </w:r>
    </w:p>
    <w:p>
      <w:r>
        <w:rPr>
          <w:b/>
        </w:rPr>
        <w:t>E. 4</w:t>
      </w:r>
    </w:p>
    <w:p>
      <w:r>
        <w:t>Bewertungsverfügung vom 20. September 2012 und Festlegung des definitiven Übertragungswerts 98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99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12).</w:t>
      </w:r>
    </w:p>
    <w:p>
      <w:r>
        <w:t>17/19</w:t>
      </w:r>
    </w:p>
    <w:p>
      <w:r>
        <w:t>100 Die Verfahrensbeteiligte erachtet eine Schlussprüfung der Anlagewerte der Übertragungsnetzeigen- tümerinnen nach Abschluss aller Gerichtsverfahren als nicht nötig. Aus Sicht der Verfahrensbeteiligten sei fraglich, ob mit dem voraussichtlich rechtskräftigen Abschluss des Verfahrens Transaktion ÜN / massgeblicher Wert (25-00003 [alt: 928-10-002]) Ende 2016 noch eine solche Schlussprüfung für alle ehemaligen Übertragungsnetzeigentümer erforderlich ist. Die regulatorischen Anlagewerte der Über- tragungsnetzanteile seien und würden in den Kosten- und Tarifverfahren der Jahre 2009 bis 2012 so- wie den Verfahren betreffend Deckungsdifferenzen 2011 und 2012 abschliessend festgelegt. Eine er- neute Überprüfung vermöge an den in rechtskräftigen Verfahren beurteilten Werten nichts mehr zu ändern (act. 14, Rz. 3 ff.). 101 Die in Randziffer 12 unter (2) und (3) beschriebenen Punkte entsprechen dem Vorgehen, wie es von der ElCom im Rahmen der Verfügung 25-00003 (alt: 928-10-002) vom 20. September 2012 («Trans- aktion Übertragungsnetz / Massgeblicher Wert») festgelegt worden ist. In welcher Form die erwähnte Schlussprüfung seitens der ElCom stattfinden wird, wird die ElCom zu gegebener Zeit unter anderem unter Berücksichtigung von prozessökonomischen Überlegungen festlegen. In diesem Sinne ist auf die diesbezüglichen Vorbringen der Verfahrensbeteiligten an dieser Stelle nicht weiter einzugehen.</w:t>
      </w:r>
    </w:p>
    <w:p>
      <w:r>
        <w:rPr>
          <w:b/>
        </w:rPr>
        <w:t>E. 5</w:t>
      </w:r>
    </w:p>
    <w:p>
      <w:r>
        <w:t>Gebühren 102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103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104 Die Gebühr hat zu bezahlen, wer eine Verfügung veranlasst (Art. 1 Abs. 3 GebV-En i.V.m. Art. 2 Abs. 1 der Allgemeinen Gebührenverordnung vom 8. September 2004 [AllgGebV; SR 172.041.1]). Die Gesuchstellerin hat das Gesuch um Festlegung der regulatorischen Anlagerestwerte per 31.12.2015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