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212-00409-2025-08-15-TTvmv4 vom 15. August 2025</w:t>
      </w:r>
    </w:p>
    <w:p>
      <w:r>
        <w:t>ElCom, 2025-08-15, DE</w:t>
      </w:r>
    </w:p>
    <w:p>
      <w:r>
        <w:rPr>
          <w:b/>
        </w:rPr>
        <w:t xml:space="preserve">Quelle: </w:t>
      </w:r>
      <w:r>
        <w:t>https://mcp.opencaselaw.ch/entscheid/elcom_212-00409-2025-08-15-TTvmv4</w:t>
      </w:r>
    </w:p>
    <w:p>
      <w:r>
        <w:t>FR: ELCOM 212-00409-2025-08-15-TTvmv4 du 15 août 2025</w:t>
      </w:r>
    </w:p>
    <w:p>
      <w:r>
        <w:t>IT: ELCOM 212-00409-2025-08-15-TTvmv4 del 15 agosto 2025</w:t>
      </w:r>
    </w:p>
    <w:p>
      <w:pPr>
        <w:pStyle w:val="Heading2"/>
      </w:pPr>
      <w:r>
        <w:t>Erwägungen</w:t>
      </w:r>
    </w:p>
    <w:p>
      <w:r>
        <w:rPr>
          <w:b/>
        </w:rPr>
        <w:t>E. 1</w:t>
      </w:r>
    </w:p>
    <w:p>
      <w:r>
        <w:t>Verfahrensgegenstand 31 Gegenstand der vorliegenden Verfügung bilden die auf die Gesuchstellerin anwendbaren Ener- gietarife der Gesuchsgegnerin für die Jahre 2023 und 2024.</w:t>
      </w:r>
    </w:p>
    <w:p>
      <w:r>
        <w:rPr>
          <w:b/>
        </w:rPr>
        <w:t>E. 2</w:t>
      </w:r>
    </w:p>
    <w:p>
      <w:r>
        <w:t>Anwendbares materielles Recht im Lichte des Bundesgesetzes über eine sichere Stromversorgung mit erneuerbaren Energien (sog. Mantelerlass; AS 2024 679) 32 Die rechtlichen Wirkungen eines Erlasses beginnen mit seinem Inkrafttreten. Der Zeitpunkt des Inkrafttretens wird grundsätzlich im Erlass selbst festgesetzt. Häufig ermächtigen Gesetze auch die jeweilige Exekutive, den Zeitpunkt des Inkrafttretens festzulegen (ULRICH HÄFELIN/GEORG MÜL- LER/FELIX UHLMANN, Allgemeines Verwaltungsrecht, 8. Aufl., Rz. 258 f.). Tritt ein neues Gesetz in Kraft, stellt sich insbesondere die Frage, ob in einem hängigen Verfahren altes oder neues Recht Anwendung findet. Grundsätzlich muss diese Frage vom einschlägigen Erlass mittels einer über- gangsrechtlichen Regelung beantwortet werden (a.a.O., Rz. 288 ff.). Fehlt eine gesetzliche Re- gelung, sind diejenigen Vorschriften anwendbar, welche bei der Erfüllung des zu Rechtsfolgen führenden Sachverhaltes Geltung haben (vgl. BGE 137 V 105, E. 5.3.1). Hat sich ein abgeschlos- sener Sachverhalt noch vor Inkrafttreten des neuen Rechts verwirklicht, kommt für die materielle Beurteilung der Angelegenheit altes Recht zur Anwendung, selbst wenn die massgebende Verfü- gung hierüber nach Inkrafttreten des neuen Rechts ergeht (Urteil des Bundesverwaltungsgerichts A-2761/2009 vom 23. Oktober 2009, E. 4). 33 Der Bundesrat hat die neuen Bestimmungen des Bundesgesetzes über die Stromversorgung (StromVG; SR 734.7) und der Stromversorgungsverordnung (StromVV; SR 734.71) zu den anre- chenbaren Energiekosten in der Grundversorgung per 1. Januar 2025 in Kraft gesetzt (vgl. Medi- enmitteilung des Bundesrats vom 20. November 2024 sowie AS 2024 679, Ziff. V, «Ergebnis der Volksabstimmung und Inkraftsetzung», Abs. 2 Bst. a). Per 1. Januar 2025 werden damit der aktuell geltende Artikel 6 StromVG (Fassung vom 1.7.2024) und die dazugehörigen Ausführungsbestim- mungen in Artikel 4 ff. StromVV (Fassung vom 1.7.2024) durch die neuen Bestimmungen (Artikel</w:t>
      </w:r>
    </w:p>
    <w:p>
      <w:r>
        <w:rPr>
          <w:b/>
        </w:rPr>
        <w:t>E. 6</w:t>
      </w:r>
    </w:p>
    <w:p>
      <w:r>
        <w:t>StromVG in der Fassung vom 1.1.2025; Art. 4 bis und mit 4e StromVV in der Fassung vom 1.1.2025) ersetzt. Die Übergangsbestimmung in Artikel 33c Absatz 1 StromVG (Fassung vom 1.1.2025) sieht vor, dass diese neuen Gesetzesbestimmungen zur Grundversorgung Energie erst ab dem Tarifjahr 2026 anwendbar sind. Für die vorliegend gegenständlichen Tarifjahre 2023 und 2024 sind sie somit nicht einschlägig. 34 Vor dem 1. Januar 2025 haben Artikel 6 StromVG zuletzt per 1. Juni 2019 (vgl. AS 2019 1349), Artikel 4 StromVV zuletzt per 1. Januar 2020 (vgl. AS 2019 3479), Artikel 4a StromVV zuletzt per 1. Januar 2023 (vgl. AS 2022 772) und Artikel 4b StromVV zuletzt per 1. Juni 2019 (vgl. AS 2019 1381) eine Änderung erfahren. Auf die Ermittlung der Energietarife für die vorliegend gegenständ- lichen Tarifjahre 2023 und 2024 kommen somit die in diesen Fassungen geltenden Artikel 6 StromVG und 4 ff. StromVV zur Anwendung. 35 Der Mantelerlass hat auch weitere Bestimmungen modifiziert oder aufgehoben, insbesondere die vorliegend massgeblichen Artikel 12 Absatz 1 StromVG (revidiert, vgl. AS 2024 679) und Artikel</w:t>
      </w:r>
    </w:p>
    <w:p>
      <w:r>
        <w:rPr>
          <w:b/>
        </w:rPr>
        <w:t>E. 10</w:t>
      </w:r>
    </w:p>
    <w:p>
      <w:r>
        <w:t>Überprüfung der Tarifermittlung: Wurde der Tarif korrekt ermit- telt? Ist die angewendete Kundengruppe gesetzmässig? Ist der angewendete Doppeltarif zulässig?</w:t>
      </w:r>
    </w:p>
    <w:p>
      <w:r>
        <w:rPr>
          <w:b/>
        </w:rPr>
        <w:t>E. 10.1</w:t>
      </w:r>
    </w:p>
    <w:p>
      <w:r>
        <w:t>Rechtliche Grundlagen 247 Die Tarife müssen für feste Endverbraucher mit gleichartiger Verbrauchscharakteristik, die von der gleichen Spannungsebene Elektrizität beziehen, einheitlich sein (Art. 6 Abs. 3 StromVG). Der Tarifanteil für die Energielieferungen an Endverbraucher mit Grundversorgung orientiert sich zu- dem an den Gestehungskosten einer effizienten Produktion und an langfristigen Bezugsverträgen des Verteilnetzbetreibers (Art. 4 Abs. 1 StromVV). Die Tarife sind daher kostenbasiert zu berech- nen.</w:t>
      </w:r>
    </w:p>
    <w:p>
      <w:r>
        <w:rPr>
          <w:b/>
        </w:rPr>
        <w:t>E. 10.2</w:t>
      </w:r>
    </w:p>
    <w:p>
      <w:r>
        <w:t>Abgeleitete Prüfschritte 248 Die ElCom hat folgendes geprüft: − Prüfung der Plan-Erlöse 2023 und 2024 gegenüber den Plan-Kosten 2023 und 2024 / Berücksichtigung der Deckungsdifferenzen aus den Vorjahren (vgl. nachfolgend Ziff. 10.3). − Berücksichtigung der Vorgaben aus Artikel 6 Absatz 3 StromVG und Artikel 4 Absatz 1 StromVV (vgl. nachfolgend Ziff. 10.4). − Zuteilung zur richtigen Kundengruppe (vgl. nachfolgend Ziff. 10.5).</w:t>
      </w:r>
    </w:p>
    <w:p>
      <w:r>
        <w:rPr>
          <w:b/>
        </w:rPr>
        <w:t>E. 10.3</w:t>
      </w:r>
    </w:p>
    <w:p>
      <w:r>
        <w:t>Prüfung der Plan-Erlöse 2023 und 2024 gegenüber den Plan-Kosten 2023 und 2024 / Berücksichtigung der Deckungsdifferenzen aus den Vorjahren 249 Das Ziel dieses Prüfschrittes ist es festzustellen, ob die Tarifierung für den vorliegend zur Diskus- sion stehenden Tarif korrekt erfolgt ist oder allenfalls Plan-Erlöse resultieren, die höher oder tiefer ausfallen als die Plan-Kosten. Folglich ist zu untersuchen, ob ausgehend von den Plan-Kosten entsprechende Plan-Erlöse definiert wurden. Diese Prüfung umfasst die verfahrensgegenständli- chen Tarifjahre 2023 und 2024. Folglich sind nur diese beiden Jahre in die Auswertung eingeflos- sen und dargestellt. 250 Untersucht wurden die Plan-Tarife in Rp./kWh derjenigen Kundengruppe, zu welcher die Gesuch- stellerin zugeordnet wurde, nämlich des Tarifmodells «CKW BusinessStrom». 251 Die ElCom stützte sich bei ihren Berechnungen unter anderem auf die Angaben, welche die Netz- betreiber in den Kostenrechnungen machen. In Formular 1.1. bestätigen alle Netzbetreiber fol- genden Passus:</w:t>
      </w:r>
    </w:p>
    <w:p>
      <w:r>
        <w:t>53/62 ElCom-D-D7DA3401/2 «[…] Mit Ihrer Unterschrift bestätigen Sie die Korrektheit und Vollständigkeit Ihrer Einträge in der Kosten- rechnung. […]» 252 Für das vorliegende Verfahren wurden die Kostenrechnungen der Tarifjahre 2018 bis und mit 2024 verwendet (act. 60). Die Gesuchsgegnerin hat die Korrektheit und Vollständigkeit ihrer Ein- träge in den Kostenrechnungen jeweils bestätigt. 253 In Formular 5.2 weisen alle Netzbetreiber ihre Plan-Gestehungs- und Beschaffungskosten (eigene Produktion, allfällig priorisierte Mengen, Kauf, allfällig priorisierte Mengen, Herkunftsnachweise, Netzverluste), Verwaltungs- und Vertriebskosten, sonstige Kosten der Energielieferung, Gewinn des Vertriebs sowie die Verwendung der Deckungsdifferenzen aus. 254 Die Deckungsdifferenzen sind gemäss der Praxis der ElCom innert drei Jahren abzubauen. Über- deckungen – das heisst Mehreinnahmen gegenüber der Planung – müssen kostenmindernd in die künftigen Tarife eingerechnet werden. Damit ist sichergestellt, dass Differenzen zwischen der Planung und den tatsächlichen Ist-Kosten und Ist-Mengen, welche den Endverbrauchern zu hoch verrechnet wurden, auf Basis der Ist-Werte zurückerstattet werden. Unterdeckungen – das heisst Mehrkosten gegenüber der Planung – dürfen ebenfalls in Rechnung gestellt werden. 255 Der Ausweis darüber, wie hoch diese Differenzen pro Jahr sind, erfolgt über das Formular «5.1 Deckungsdifferenzen». Hier werden die Einnahmen, welche im entsprechenden Tarifjahr als ab- gesetzte Menge mal Tarife in Rp./kWh den Endverbrauchern in Rechnung gestellt wurden, den tatsächlichen Ist-Kosten desselben Jahres gegenübergestellt. 256 Ebenfalls in diesem Formular auszuweisen ist der jeweilige Betrag, welcher zum Abbau von be- stehenden Deckungsdifferenzen tatsächlich in die Tarife eingerechnet wurde. Dieser wirkt sich kostenerhöhend im Falle eines Abbaus von Unterdeckungen bzw. kostensenkend im Falle eines Abbaus von Überdeckungen aus. 257 Der Betrag, welcher vom Netzbetreiber zum Abbau von Deckungsdifferenzen in einem bestimm- ten Planjahr eingesetzt werden soll, ist ebenfalls auszuweisen. Dies erfolgt – da es sich um einen Planwert handelt – im Formular 5.2 «Gestehungskosten Energie» in der Position «Verwendung Deckungsdifferenzen [CHF]». Auch hier wirkt sich analog dem Ausweis in Formular 5.1 ein Abbau von Überdeckungen kostenmindernd, ein Abbau von Unterdeckungen kostenerhöhend aus. 258 Im Prüfbericht vom 23. Oktober 2024, welcher zur Bezeichnung von allfälligen Geschäftsgeheim- nissen der Gesuchstellerin zugestellt worden war, hatte das Fachsekretariat festgestellt, dass zwi- schen den Plankosten und den Planerlösen insofern eine erhebliche Differenz bestand, als die Plan-Erlöse höher ausfielen als die Plan-Kosten (act. 61, Tabelle 12). Das Fachsekretariat kam darin zum Schluss, dass bezogen auf die Plan-Kosten der Kundengruppe von der Gesuchstellerin in den vorliegend betrachteten Jahren 2023 und 2024 jeweils höhere Plan-Erlöse in Rp./kWh an- gesetzt waren, als dies aufgrund der Plan-Kosten tatsächlich zu erwarten war. Die Differenz be- trug für das Tarifjahr 2023 3 bis 7 Rp./kWh bzw. für das Tarifjahr 3 bis 7 Rp./kWh. 259 In ihrer Eingabe vom 7. November 2024 führte die Gesuchsgegnerin aus, dass bei dieser Beur- teilung der für die Tarife 2024 vorgesehene Abbau der Deckungsdifferenzen in Höhe von 20'000'000 bis 70'000'000 Franken in der Planung für die Erlöse für das Tarifjahr 2024 nicht be- rücksichtigt war. Sie habe die in den Formularen 5.1 und 5.2 der von ihr im Jahr 2023 eingereich- ten Kostenrechnung (Kostenrechnung für die Tarife 2024) ausgewiesenen 20'000'000 bis 70'000'000 Franken (oder 3-7 Rp./kWh) ihrer bestehenden Deckungsdifferenzen in die Energie- tarife 2024 eingerechnet (act. 62). 260 Die entsprechende Abweichung in der Kostenrechnung für die Tarife 2023 im Umfang von 3 bis 7 Rp./kWh resultierte aus demselben Grund: Hier machte die Gesuchsgegnerin geltend, dass sie nicht nur die eintarifierten Deckungsdifferenzen im Umfang von 0 bis 50'000’000 Franken (Formu-</w:t>
      </w:r>
    </w:p>
    <w:p>
      <w:r>
        <w:t>54/62 ElCom-D-D7DA3401/2 lar 5.2 der von der Gesuchsgegnerin im Jahr 2022 eingereichten Kostenrechnung für die Tarife 2023) in die Tarife eingerechnet habe, sondern insgesamt 30'000'000 bis 80'000’000 Franken mehr. Damit sei für das Tarifjahr 2023 insgesamt ein Abbau von Deckungsdifferenzen im Umfang von 40'000'000 bis 100'000’000 Franken (CHF 8'197'547.14 + CHF 42’441’919.04) geplant wor- den. 261 Im Prüfbericht an die Parteien vom 23. Dezember 2024 wurde dieser Sachverhalt unter dem Titel «Nachtrag» ergänzt (act. 70 ff., S. 34 f.). 262 Die Gesuchsgegnerin plante damit folgende Unterdeckungen (Deckungsdifferenzen) in die Tarife einzurechnen (Tabelle 12 des Prüfberichtes vom 23. Dezember 2024 [act. 70 ff.] wurde durch die nachfolgenden Tabellen 12a, 12b und 12c ersetzt und wird in der vorliegenden Verfügung nicht mehr abgebildet):</w:t>
      </w:r>
    </w:p>
    <w:p>
      <w:r>
        <w:t>Tabelle 12a Geplante Energiekosten und vorgesehene Deckungsdifferenzen aus den Vorjah- ren, welche pro Tarifjahr die gesamten Plan-Kosten für 2023 und 2024 ergeben 263 Die ElCom hat die so ermittelten Plan-Kosten einschliesslich Unterdeckungen den ausgewiese- nen Plan-Erlösen gegenübergestellt und eine Differenz festgestellt. Nachfolgende Tabelle zeigt, dass die Gesuchsgegnerin für das Tarifjahr 2023 rund 8.02 Millionen Franken und für das Tarifjahr 2024 rund 68.4 Millionen Franken an Kosten nicht in die Tarife eingerechnet hat.</w:t>
      </w:r>
    </w:p>
    <w:p>
      <w:r>
        <w:t>Tabelle 12b Gegenüberstellung der gesamten Plan-Kosten (inkl. Deckungsdifferenzen) und der</w:t>
      </w:r>
    </w:p>
    <w:p>
      <w:r>
        <w:t>Plan-Erlöse für die Tarifjahre 2023 und 2024 264 Aufgrund der Deckungsdifferenzen weist die Gesuchsgegnerin deutlich höhere Gesamtkosten aus, als von den reinen Energiebeschaffungskosten ableitbar wäre. Im Tarifjahr 2023 machen die Deckungsdifferenzen rund einen Viertel der Gesamtkosten aus, im Tarifjahr 2024 rund einen Fünf- tel (was bei beinahe gleichbleibender Grösse der Deckungsdifferenzen lediglich der Erhöhung der reinen Energiekosten geschuldet ist). In der Folge ergibt der Vergleich zwischen den geplanten Erlösen und den geplanten Kosten nachfolgendes Ergebnis:</w:t>
      </w:r>
    </w:p>
    <w:p>
      <w:r>
        <w:t>Tabelle 12c Plan-Kosten der Grundversorgung und Plan-Erlöse der Kundengruppe (KG) von SFT inkl. der resultierenden Abweichung jeweils in Rp./kWh Tarifjahr ausgewiesene Energiekosten Grundversorgung (CHF) anzurechnende Deckungsdifferenzen (MCHF) Gesamt- Kosten (CHF) Energiemenge Grundversorgung (GWh) Plan-Kosten Rp./kWh 2023 20-70 900-1'800 2024 20-70 800-1'700 Tarifjahr Gesamt-Kosten (CHF) ausgewiesene Plan-Erlöse für alle Tarifmodelle (CHF) Differenz (CHF) 2023 2024 Plan-Kosten Rp./kWh Plan-Erlöse KG SFT Rp./kWh Abweichung Rp./kWh 2023 CKW BusinessStrom 2024 CKW BusinessStrom Grundversorgung</w:t>
      </w:r>
    </w:p>
    <w:p>
      <w:r>
        <w:t>55/62 ElCom-D-D7DA3401/2 265 An dieser Stelle ist festzuhalten, dass die geplanten Erlöse deutlich unter den deklarierten Plan- Kosten liegen. Dadurch entstehen mitunter substanzielle Unterdeckungen, insbesondere im Jahr 2024. Diese Unterdeckungen haben keine negativen Auswirkungen auf die vorliegend gegen- ständlichen Tarifjahre und wirken sich potenziell erst in den Tarifjahren nach 2024 für sämtliche Endverbraucher in der Grundversorgung aus. Die ElCom behält sich deshalb ausdrücklich vor, die durch die nicht vollständig eintarifierten Plan-Kosten entstandenen Unterdeckungen in einem Tarifprüfungsverfahren von Amtes wegen zu prüfen. Zwischenfazit Prüfung der Plan-Erlöse 2023 und 2024 gegenüber den Plan-Kosten 2023 und 2024: 266 Aus diesem Prüfschritt geht hervor, dass in den Jahren 2023 und 2024 der Kundengruppe der Gesuchstellerin tiefere Plan-Kosten angerechnet und somit tiefere Erlöse eingeplant wurden als theoretisch möglich gewesen wäre. Die theoretisch möglichen Plan-Erlöse ergeben sich aus der Multiplikation des geplanten Tarifs in Rp./kWh mit der voraussichtlich abgesetzten Menge (kWh) im entsprechenden Stromprodukt. Da jedoch die Tarife grundsätzlich kostenbasiert sein müssen, sollten sich die Plan-Kosten und die Plan-Erlöse nicht wesentlich unterscheiden. Die hier erkenn- bare Abweichung generiert hohe Unterdeckungen, die sich potenziell in den zukünftigen Tarifjah- ren auswirken. Die ElCom behält sich deshalb ausdrücklich vor, die durch die nicht vollständig eintarifierten Plan-Kosten entstandenen Unterdeckungen in einem Tarifprüfungsverfahren von Amtes wegen zu prüfen.</w:t>
      </w:r>
    </w:p>
    <w:p>
      <w:r>
        <w:rPr>
          <w:b/>
        </w:rPr>
        <w:t>E. 10.4</w:t>
      </w:r>
    </w:p>
    <w:p>
      <w:r>
        <w:t>Berücksichtigung der Vorgaben aus Artikel 6 Absatz 3 StromVG und Arti- kel 4 Absatz 1 StromVV 267 Artikel 6 Absatz 3 StromVG sieht vor, dass für feste Endverbraucher mit gleichartiger Verbrauch- scharakteristik, die von der gleichen Spannungsebene Elektrizität beziehen, ein einheitlicher Elektrizitätstarif festgelegt werden muss. Die Elektrizitätstarife sind für mindestens ein Jahr fest und sind aufgeschlüsselt nach Netznutzung, Energielieferung sowie Abgaben und Leistungen an Gemeinwesen zu veröffentlichen. Diese Vorgaben wurden anhand der publizierten Tarifblätter der Gesuchsgegnerin überprüft. 268 Die Gesuchsgegnerin unterscheidet ihre Stromprodukte nach Qualitäten der Erzeugung sowie nach Jahresverbrauch. Die Gesuchstellerin wurde in das Stromprodukt «CKW Businessstrom» eingeteilt, das auf Endverbraucher Anwendung findet, die mehr als 50'000 Kilowattstunden Jah- reskonsum aufweisen. Endverbrauchern mit weniger als 50'000 Kilowattstunden Jahreskonsum wird je nach Qualität das Stromprodukt «CKW BudgetStrom», «CKW ClassicStrom» oder «CKW MeinRegioStrom» angeboten. 269 Eine solche Unterteilung ist aufgrund der gesetzlichen Vorgaben nicht zu beanstanden. 270 Im vorliegenden Fall besteht der Tarif «CKW Businessstrom» aus Hoch- und Niedertarif. Die Stromversorgungsgesetzgebung enthält keine ausdrücklichen Vorgaben zu Doppel- bzw. Ein- fachtarifen, lässt diese aber zu (vgl. Botschaft StromVG, BBl 2005 1611, 1645). Differenzierungen innerhalb einer Spannungsebene lassen sich von der Verbrauchscharakteristik her begründen (HEINZ LEITNER/ALEX ROTHENFLUH, in: Kommentar zum Energierecht, Band I, Art. 6, Rz. 27). Eine Unterscheidung in Hoch- und Niedertarif ist daher zulässig und folglich nicht zu beanstanden. Die Einteilung ist somit auch bezüglich der Vorgaben, dass für feste Endverbraucher mit gleichartiger Verbrauchscharakteristik, die von der gleichen Spannungsebene Elektrizität beziehen, ein einheit- licher Elektrizitätstarif festgelegt werden muss, zulässig. 271 Die Elektrizitätstarife wurden seitens der Gesuchsgegnerin ausserdem für mindestens ein Jahr fest und aufgeschlüsselt nach Netznutzung, Energielieferung sowie Abgaben und Leistungen an Gemeinwesen veröffentlicht.</w:t>
      </w:r>
    </w:p>
    <w:p>
      <w:r>
        <w:t>56/62 ElCom-D-D7DA3401/2 Zwischenfazit zur Berücksichtigung der Vorgaben aus Artikel 6 Absatz 3 StromVG und Artikel 4 Absatz 1 StromVV: 272 Aus diesem Prüfschritt geht hervor, dass die Vorgaben aus Artikel 6 Absatz 3 StromVG eingehal- ten wurden. Es wurde für feste Endverbraucher mit gleichartiger Verbrauchscharakteristik, die von der gleichen Spannungsebene Elektrizität beziehen, ein einheitlicher Elektrizitätstarif festgelegt. Die Elektrizitätstarife wurden seitens der Gesuchsgegnerin für ein Jahr festgelegt und sie sind aufgeschlüsselt nach Netznutzung, Energielieferung sowie Abgaben und Leistungen an Gemein- wesen im Tarifblatt veröffentlicht. Eine Unterscheidung in Hoch- und Niedertarif ist zulässig. Die Gesuchsgegnerin hat im Übrigen auch selbst nie geltend gemacht, eine Unterteilung in Hoch- und Niedertarif sei unzulässig.</w:t>
      </w:r>
    </w:p>
    <w:p>
      <w:r>
        <w:rPr>
          <w:b/>
        </w:rPr>
        <w:t>E. 10.5</w:t>
      </w:r>
    </w:p>
    <w:p>
      <w:r>
        <w:t>Zuteilung zur richtigen Kundengruppe 273 Aufgrund der seitens der Gesuchstellerin deklarierten jährlichen Verbrauchsmenge von zwischen</w:t>
      </w:r>
    </w:p>
    <w:p>
      <w:r>
        <w:rPr>
          <w:b/>
        </w:rPr>
        <w:t>E. 10.6</w:t>
      </w:r>
    </w:p>
    <w:p>
      <w:r>
        <w:t>Fazit zur Überprüfung der Tarifermittlung: Wurde der Tarif korrekt ermit- telt? Ist die angewendete Kundengruppe gesetzmässig? Ist der angewen- dete Doppeltarif zulässig? 275 In den Jahren 2023 und 2024 wurden in der Kundengruppe «CKW Businessstrom» substanziell tiefere Plan-Erlöse einkalkuliert, als die Plan-Kosten erwarten liessen. Da die Tarife grundsätzlich kostenbasiert sein müssen, sollten sich die Plan-Kosten und die Plan-Erlöse nicht wesentlich un- terscheiden. Mit dem gewählten Vorgehen erzeugt die Gesuchsgegnerin – ohne erkennbare Not- wendigkeit – Unterdeckungen, welche durch die Gesuchsgegnerin verzinst in die Folgejahre ein- gerechnet werden können. Diese Unterdeckungen haben keine negativen Auswirkungen auf die vorliegend gegenständlichen Tarifjahre und wirken sich potenziell erst in den Tarifjahren nach 2024 aus. Die ElCom behält sich deshalb ausdrücklich vor, die durch nicht vollständig eintarifierten Plan-Kosten entstandenen Unterdeckungen in einem Tarifprüfungsverfahren von Amtes wegen zu prüfen. 276 Die Vorgaben aus Artikel 6 Absatz 3 StromVG und Artikel 4 Absatz 1 StromVV wurden eingehalten (vgl. vorne Ziff. 10.4). 277 Die Einteilung der Gesuchstellerin zur entsprechenden Kundengruppe und in das Stromprodukt «CKW Businessstrom» ist nicht zu beanstanden (vgl. vorne Ziff. 10.5). 11 Zusammenfassung der Ergebnisse der Prüfung Zusammenfassend lassen sich die Ergebnisse der Prüfung wie folgt festhalten:</w:t>
      </w:r>
    </w:p>
    <w:p>
      <w:r>
        <w:t>57/62 ElCom-D-D7DA3401/2 1) Überprüfung der den Tarifen zugrundeliegenden Kostengrundlage hinsichtlich Einhaltung von Gesetz und Weisungen: Sind die eingereichten Plan-Kosten des Energietarifs nach- vollziehbar? Weisen sie Auffälligkeiten auf? 278 Die Gesuchsgegnerin hat sich bei der Bestimmung der Plan-Kosten an den gesetzlichen Möglich- keiten orientiert und die gewährten Möglichkeiten genutzt. Für das Jahr 2023 hat sie vollständig auf die Priorisierung der erneuerbaren Energie aus Eigenproduktion zu Gestehungskosten in die Grundversorgung nach Artikel 6 Absatz 5bis StromVG verzichtet und die Durchschnittspreisme- thode angewendet. Für 2024 hat die Gesuchsgegnerin wieder Energie gemäss Artikel 6 Absatz 5bis StromVG priorisiert. Die Vorgaben gemäss Artikel 6 Absatz 5 StromVG (sog. «Durchschnitts- preismethode») wurden eingehalten. 279 Die Gesuchsgegnerin hat ihre Endverbraucher wohl über die Tariferhöhung informiert, nicht aber über die Ursachen hierfür. In diesem Zusammenhang sind namentlich die nicht mehr angewandte Priorisierung gemäss Artikel 6 Absatz 5bis StromVG und die ausgeglichenen Unterdeckungen zu nennen. Die Gesuchsgegnerin hat die Kommunikation im Laufe des Jahres 2023 über ihre Web- seite nachgeholt. 280 Im Weiteren ist der Zinssatz für die Produktionsanlagen im Jahr 2024 zu hoch eingeplant worden. Die Systematik der Publikation des WACC Produktion erfordert jedoch bei der Planung der Kosten eine Abschätzung des WACC. Die Gesuchsgegnerin hat wie in den vorangehenden Jahren je- weils den WACC des Vorjahres verwendet, was nicht zu beanstanden ist. Die Korrektur hat in den Folgejahren über die Deckungsdifferenzen zu erfolgen. 281 Ungeachtet der Ergebnisse der vorliegenden Prüfung bleibt eine Prüfung von Amtes wegen der Ist-Kosten der Tarifjahre 2023 und 2024, der Vorjahre sowie der Folgejahre wie bereits erwähnt ausdrücklich vorbehalten. 2) Überprüfung der Tarifermittlung: Wurde der Tarif korrekt ermittelt? Ist die angewendete Kundengruppe gesetzmässig? Ist der angewendete Doppeltarif zulässig? 282 Die Berechnung der Tarife ist unter Berücksichtigung der Kosten für die Energiebeschaffung und der Deckungsdifferenzen korrekt erfolgt. Die in Rechnung gestellten Tarife liegen unter der Ober- grenze, welche sich durch die Anwendung der DPM ergibt. 283 Die Ausweisung der Tarife auf dem Tarifblatt ist korrekt erfolgt. 284 Die angewandte Kundengruppe ist gesetzmässig. Die Unterscheidung in Hoch- und Niedertarif ist zulässig. Die Gesuchstellerin wurde der korrekten Kundengruppe zugeteilt.</w:t>
      </w:r>
    </w:p>
    <w:p>
      <w:r>
        <w:rPr>
          <w:b/>
        </w:rPr>
        <w:t>E. 12</w:t>
      </w:r>
    </w:p>
    <w:p>
      <w:r>
        <w:t>Gebühren 285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286 Für die vorliegende Verfügung sind folgende Aufwände angefallen: 8 anrechenbare Stunden zu einem Gebührenansatz von 250 Franken pro Stunde (ausmachend 2’000 Franken), 35 anrechen- bare Stunden zu einem Gebührenansatz von 230 Franken pro Stunde (ausmachend 8'050 Fran- ken) und 327 anrechenbare Stunden zu einem Gebührenansatz von 200 Franken pro Stunde (ausmachend 65’400 Franken). Die Gebühren ohne die vorsorglichen Verfügungen vom 20. Feb- ruar 2023 (act. 8) und vom 6. Juli 2023 (act. 24) betragen somit 75'450 Franken. Die Gebühren für die Verfügungen um Erlass von vorsorglichen Massnahmen betragen 2'710 und 2'110 Franken</w:t>
      </w:r>
    </w:p>
    <w:p>
      <w:r>
        <w:t>58/62 ElCom-D-D7DA3401/2 und sollten mit der Hauptsache auferlegt werden (jeweils Dispositivziffer 2). Beide Verfügungen sind rechtskräftig. Die Verfügung vom 20. Februar 2023 wurde nicht angefochten und die von der Gesuchstellerin gegen die Verfügung vom 6. Juli 2023 erhobene Beschwerde wurde mit Urteil des Bundesverwaltungsgerichts A-4335/2023 vom 12. März 2024 abgewiesen. Gesamthaft ergibt sich damit eine Gebühr von 80’270 Franken. 287 In ihrer Stellungnahme vom 22. April 2025 machte die Gesuchstellerin geltend, die im Prüfbericht vom 23. Dezember 2024 erwähnten Gebühren in der Höhe von 68'100 Franken seien nicht nach- vollziehbar und würden nicht akzeptiert. Zum einen sei der Prüfbericht nicht gesetzeskonform und zum anderen seien die seit dem Entwurf des Prüfberichts vom 23. Oktober 2024 (act. 61) aufge- laufenen Gebühren in der Höhe von mindestens 23'000 Franken vollumfänglich der Gesuchsgeg- nerin, eventualiter der ElCom anzulasten, zumal dieser Aufwand durch die seither zwischen der Gesuchsgegnerin und der ElCom (ohne Ergebnis) diskutierten Geschäftsgeheimnisse verursacht worden sei (act. 81, Rz. 50). 288 In ihrer Eingabe vom 26. Juni 2025 äusserte sich die Gesuchsgegnerin nicht zu den Gebühren (act. 86). 289 Im Entwurf des Prüfberichts vom 23. Oktober 2024 wurden die bis zum damaligen Zeitpunkt auf- gelaufenen Gebühren, einschliesslich der Gebühren für die vorsorglichen Verfügungen vom 20. Februar 2023 (act. 8 f.) und vom 6. Juli 2023 (act. 23 f.), mit ungefähr 45'000 Franken ange- geben (act. 61, S. 38). Im Zeitpunkt des Prüfberichts vom 23. Dezember 2024 beliefen sich die Gebühren auf 68'100 Franken (act. 70 ff., S. 39). Die Vorbringen der Gesuchstellerin bezüglich der Differenz von 23'100 Franken gehen in zweierlei Hinsicht fehl: Zum einen geht die Gesuch- stellerin fälschlicherweise davon aus, dass die seit dem Entwurf des Prüfberichts vom 23. Oktober 2024 aufgelaufenen Gebühren einzig mit den Abklärungen zu den von der Gesuchsgegnerin gel- tend gemachten Geschäftsgeheimnissen zusammenhängen. Der Aufwand hängt jedoch nur zu einem geringen Teil mit den Geschäftsgeheimnissen zusammen. Einen Grossteil des Aufwands verursachten die Vorbereitungen im Hinblick auf den Erlass der vorliegenden Verfügung (ein- schliesslich der Berücksichtigung der Eingabe der Gesuchsgegnerin vom 7. November 2024 zu den Deckungsdifferenzen, act. 62). Entsprechend liegen die vorliegend ausgewiesenen Gesamt- gebühren mit 80’270 Franken nur unwesentlich höher als im Zeitpunkt des Prüfberichts vom 23. Dezember 2024, zumal im Sinne der Verfahrensbeschleunigung während dem Fristenlauf für die Vernehmlassung der Parteien zum Prüfbericht parallel die materiellen Arbeiten vorangetrieben sowie die weiteren Verfahrensschritte unternommen wurden. Die Differenz von 12’170 Franken erklärt sich im Wesentlichen mit dem Schriftenwechsel seit Zustellung des Prüfberichts und der Auseinandersetzung mit den von den Parteien in ihren Stellungnahmen vom 22. April 2025 (act. 81) und vom 26. Juni 2025 (act. 86) vorgebrachten Argumenten. Zum anderen hat die Ge- suchstellerin mit ihren Anträgen zur vollständigen Akteneinsicht zur vertieften Klärung der Ge- schäftsgeheimnisse Anlass gegeben. 290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4. Aufl., Rz. 653; BGE 132 II 47 E. 3.3). 291 Die Gesuchstellerin hat diese Verfügung durch ihre Gesuche um Erlass eines Entscheids veran- lasst. Die von ihr veranlasste Prüfung hat aufgezeigt, dass die Gesuchsgegnerin die auf die Ge- suchstellerin angewendeten Tarife in den Jahren 2023 und 2024 gesetzmässig festgelegt hat. Im Rahmen der Prüfung wurde aber auch aufgezeigt, dass die Gesuchsgegnerin die Tarifänderungen für das Tarifjahr 2023 gegenüber ihren Endverbrauchern nur unzureichend kommuniziert und be- gründet hatte und die korrekte Kommunikation aufgrund einer Aufforderung der ElCom nachholen musste (vgl. vorne Rz. 229). Dies geschah im Laufe des Jahres 2023. Die Gesuchsgegnerin</w:t>
      </w:r>
    </w:p>
    <w:p>
      <w:r>
        <w:t>59/62 ElCom-D-D7DA3401/2 hat durch eine nicht gesetzeskonforme Begründung der Tarife 2023 ebenfalls Anlass für das vor- liegende Verfahren gegeben. 292 Die Gebühren ohne die vorsorglichen Verfügungen in der Höhe von 75'450 Franken werden der Gesuchstellerin somit zu 4/5, das heisst zu 60’360 Franken, auferlegt. Die Gebühren für die vor- sorglichen Massnahmen von 2'710 und 2'110 Franken werden hingegen vollumfänglich der Ge- suchstellerin auferlegt, da sie mit ihren Gesuchen um vorsorgliche Massnahmen nicht durchge- drungen ist (vgl. Verfügungen vom 20. Februar 2023 und vom 6. Juli 2023, jeweils Dispositivziffer 2). 293 Der Gesuchstellerin werden für das erstinstanzliche Verfahren somit Gebühren von insgesamt 65’180 Franken auferlegt. 294 Der Gesuchsgegnerin werden die Gebühren in der Höhe von 75'450 Franken zu 1/5, das heisst zu 15'090 Franken, auferlegt.</w:t>
      </w:r>
    </w:p>
    <w:p>
      <w:r>
        <w:rPr>
          <w:b/>
        </w:rPr>
        <w:t>E. 13</w:t>
      </w:r>
    </w:p>
    <w:p>
      <w:r>
        <w:t>Parteientschädigung 295 Beide Parteien stellten Antrag auf Ausrichtung einer Parteientschädigung (vgl. zuletzt act. 50 und act. 81). 296 Weder die Stromversorgungsgesetzgebung noch das VwVG sehen im erstinstanzlichen Verwal- tungsverfahren die Ausrichtung einer Parteientschädigung vor. Für eine analoge Anwendung von Artikel 64 VwVG, der das Beschwerdeverfahren betrifft, besteht kein Raum, da es sich beim Aus- schluss von Parteientschädigungen im erstinstanzlichen Verfahren nicht um eine echte Lücke handelt, sondern dies vom Gesetzgeber bewusst so vorgesehen wurde (m.w.H.: BGE 132 II 47 ff., E. 5.2). 297 Die Anträge auf Ausrichtung einer Parteientschädigung werden deshalb abgewiesen.</w:t>
      </w:r>
    </w:p>
    <w:p>
      <w:r>
        <w:t>60/62 ElCom-D-D7DA3401/2 III Entscheid Gestützt auf diesen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