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 Swissmedic vom 23. April 2019</w:t>
      </w:r>
    </w:p>
    <w:p>
      <w:r>
        <w:t>EDÖB, 2019-04-23, DE</w:t>
      </w:r>
    </w:p>
    <w:p>
      <w:r>
        <w:rPr>
          <w:b/>
        </w:rPr>
        <w:t xml:space="preserve">Quelle: </w:t>
      </w:r>
      <w:r>
        <w:t>https://mcp.opencaselaw.ch/entscheid/edoeb_recommandation_Swissmedic</w:t>
      </w:r>
    </w:p>
    <w:p>
      <w:r>
        <w:t>FR: EDOEB recommandation Swissmedic du 23 avril 2019</w:t>
      </w:r>
    </w:p>
    <w:p>
      <w:r>
        <w:t>IT: EDOEB recommandation Swissmedic del 23 aprile 2019</w:t>
      </w:r>
    </w:p>
    <w:p>
      <w:pPr>
        <w:pStyle w:val="Heading2"/>
      </w:pPr>
      <w:r>
        <w:t>Regeste</w:t>
      </w:r>
    </w:p>
    <w:p>
      <w:r>
        <w:t>Recommandation du 23 avril 2019: Swissmedic / Rapports d’incident concernant une prothèse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23.04.2019 Préposé fédéral à la protection des données et à la transparence (PFPDT) Recommandations selon la LTrans 23.04.2019 Incaricato fedeale della protezione dei dati e della trasparenza Raccomandazioni secondo LTras 23.04.2019</w:t>
      </w:r>
    </w:p>
    <w:p>
      <w:r>
        <w:t>Recommandation du 23 avril 2019: Swissmedic / Rapports d’incident concernant une prothèse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