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recommandation-du-10-décembre-2014-cscv-accès-à-un-rapport-et-au-règlement-inter-2014-12-10 vom 10. Dezember 2014</w:t>
      </w:r>
    </w:p>
    <w:p>
      <w:r>
        <w:t>EDÖB, 2014-12-10, FR</w:t>
      </w:r>
    </w:p>
    <w:p>
      <w:r>
        <w:rPr>
          <w:b/>
        </w:rPr>
        <w:t xml:space="preserve">Quelle: </w:t>
      </w:r>
      <w:r>
        <w:t>https://mcp.opencaselaw.ch/entscheid/edoeb_recommandation-du-10-décembre-2014-cscv-accès-à-un-rapport-et-au-règlement-inter-2014-12-10</w:t>
      </w:r>
    </w:p>
    <w:p>
      <w:r>
        <w:t>FR: EDOEB recommandation-du-10-décembre-2014-cscv-accès-à-un-rapport-et-au-règlement-inter-2014-12-10 du 10 décembre 2014</w:t>
      </w:r>
    </w:p>
    <w:p>
      <w:r>
        <w:t>IT: EDOEB recommandation-du-10-décembre-2014-cscv-accès-à-un-rapport-et-au-règlement-inter-2014-12-10 del 10 dicembre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Contrôle suisse du commerce des vins accorde l’accès aux documents concernés par la demande en médiation, c'est-à-dire le règlement interne du CSCV et le rapport du CSCV à l’attention du Chimiste cantonal du 11 janvier 2013, conformément aux dispositions de la loi sur la transparence.</w:t>
      </w:r>
    </w:p>
    <w:p>
      <w:r>
        <w:rPr>
          <w:b/>
        </w:rPr>
        <w:t>E. 2</w:t>
      </w:r>
    </w:p>
    <w:p>
      <w:r>
        <w:t>Le Contrôle suisse du commerce des vins rend une décision selon l’art. 5 de la loi fédérale sur la procédure administrative (PA, RS 172.021) s’il refuse d’octroyer l’accès conformément à la recommandation (art. 15 al. 2 LTrans).</w:t>
      </w:r>
    </w:p>
    <w:p>
      <w:r>
        <w:rPr>
          <w:b/>
        </w:rPr>
        <w:t>E. 3</w:t>
      </w:r>
    </w:p>
    <w:p>
      <w:r>
        <w:t>Dans les 10 jours à compter de la réception de la recommandation, les demandeurs peuvent exiger que le Contrôle suisse du commerce des vins rende une décision selon l’art. 5 PA s’ils ne sont pas d’accord avec la recommandation (art. 15 al. 1 LTrans).</w:t>
      </w:r>
    </w:p>
    <w:p>
      <w:r>
        <w:rPr>
          <w:b/>
        </w:rPr>
        <w:t>E. 4</w:t>
      </w:r>
    </w:p>
    <w:p>
      <w:r>
        <w:t>Le Contrôle suisse du commerce des vins rend la décision dans les 20 jours à compter de la réception de la recommandation ou de la requête en décision (art. 15 al. 3 LTrans).</w:t>
      </w:r>
    </w:p>
    <w:p>
      <w:r>
        <w:rPr>
          <w:b/>
        </w:rPr>
        <w:t>E. 5</w:t>
      </w:r>
    </w:p>
    <w:p>
      <w:r>
        <w:t>Par analogie à l’art. 22a al. 1 let. c PA, les délais fixés en jours par la loi ne courent pas du 18 décembre 2014 au 2 janvier 2015 inclusivement.</w:t>
      </w:r>
    </w:p>
    <w:p>
      <w:r>
        <w:t>4/4</w:t>
      </w:r>
    </w:p>
    <w:p>
      <w:r>
        <w:rPr>
          <w:b/>
        </w:rPr>
        <w:t>E. 6</w:t>
      </w:r>
    </w:p>
    <w:p>
      <w:r>
        <w:t>La présente recommandation est publiée. Afin de protéger les données relatives aux parties à la procédure de médiation, les noms des demandeurs sont anonymisés (art. 13 al. 3 OTrans).</w:t>
      </w:r>
    </w:p>
    <w:p>
      <w:r>
        <w:rPr>
          <w:b/>
        </w:rPr>
        <w:t>E. 7</w:t>
      </w:r>
    </w:p>
    <w:p>
      <w:r>
        <w:t>La recommandation est notifiée à: - X et Y</w:t>
      </w:r>
    </w:p>
    <w:p>
      <w:r>
        <w:t>- Contrôle suisse du commerce des vins M. Philippe Hunziker Case postale 272 8803 Rüschlikon</w:t>
      </w:r>
    </w:p>
    <w:p>
      <w:r>
        <w:t>Jean-Philippe Walter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