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empfehlung-vom-23-november-2023-bag-impfstoffvertraege-moderna-switzerland-gmbha-2023-11-23 vom 23. November 2023</w:t>
      </w:r>
    </w:p>
    <w:p>
      <w:r>
        <w:t>EDÖB, 2023-11-23, DE</w:t>
      </w:r>
    </w:p>
    <w:p>
      <w:r>
        <w:rPr>
          <w:b/>
        </w:rPr>
        <w:t xml:space="preserve">Quelle: </w:t>
      </w:r>
      <w:r>
        <w:t>https://mcp.opencaselaw.ch/entscheid/edoeb_empfehlung-vom-23-november-2023-bag-impfstoffvertraege-moderna-switzerland-gmbha-2023-11-23</w:t>
      </w:r>
    </w:p>
    <w:p>
      <w:r>
        <w:t>FR: EDOEB empfehlung-vom-23-november-2023-bag-impfstoffvertraege-moderna-switzerland-gmbha-2023-11-23 du 23 novembre 2023</w:t>
      </w:r>
    </w:p>
    <w:p>
      <w:r>
        <w:t>IT: EDOEB empfehlung-vom-23-november-2023-bag-impfstoffvertraege-moderna-switzerland-gmbha-2023-11-23 del 23 novembre 2023</w:t>
      </w:r>
    </w:p>
    <w:p>
      <w:pPr>
        <w:pStyle w:val="Heading2"/>
      </w:pPr>
      <w:r>
        <w:t>Erwägungen</w:t>
      </w:r>
    </w:p>
    <w:p>
      <w:r>
        <w:rPr>
          <w:b/>
        </w:rPr>
        <w:t>E. 1</w:t>
      </w:r>
    </w:p>
    <w:p>
      <w:r>
        <w:t>A.___</w:t>
      </w:r>
    </w:p>
    <w:p>
      <w:r>
        <w:rPr>
          <w:b/>
        </w:rPr>
        <w:t>E. 2</w:t>
      </w:r>
    </w:p>
    <w:p>
      <w:r>
        <w:t>B.___</w:t>
      </w:r>
    </w:p>
    <w:p>
      <w:r>
        <w:rPr>
          <w:b/>
        </w:rPr>
        <w:t>E. 3</w:t>
      </w:r>
    </w:p>
    <w:p>
      <w:r>
        <w:t>C.___</w:t>
      </w:r>
    </w:p>
    <w:p>
      <w:r>
        <w:rPr>
          <w:b/>
        </w:rPr>
        <w:t>E. 4</w:t>
      </w:r>
    </w:p>
    <w:p>
      <w:r>
        <w:t>D.___</w:t>
      </w:r>
    </w:p>
    <w:p>
      <w:r>
        <w:rPr>
          <w:b/>
        </w:rPr>
        <w:t>E. 5</w:t>
      </w:r>
    </w:p>
    <w:p>
      <w:r>
        <w:t>E.___</w:t>
      </w:r>
    </w:p>
    <w:p>
      <w:r>
        <w:rPr>
          <w:b/>
        </w:rPr>
        <w:t>E. 6</w:t>
      </w:r>
    </w:p>
    <w:p>
      <w:r>
        <w:t>F.___</w:t>
      </w:r>
    </w:p>
    <w:p>
      <w:r>
        <w:rPr>
          <w:b/>
        </w:rPr>
        <w:t>E. 7</w:t>
      </w:r>
    </w:p>
    <w:p>
      <w:r>
        <w:t>G.___</w:t>
      </w:r>
    </w:p>
    <w:p>
      <w:r>
        <w:rPr>
          <w:b/>
        </w:rPr>
        <w:t>E. 8</w:t>
      </w:r>
    </w:p>
    <w:p>
      <w:r>
        <w:t>Mit Schreiben vom 10. Mai 2022 nahm die Drittperson durch ihre Rechtsvertreter Stellung, nach- dem das BAG zweimal eine Fristerstreckung gewährt hatte. Sie war mit der beabsichtigten Zu- gangsgewährung des BAG nicht einverstanden und berief sich auf folgende Ausnahmebestim- mungen: Art. 7 Abs. 1 Bst. g BGÖ, Art. 7 Abs. 1 Bst. h BGÖ und Art. 9 BGÖ.</w:t>
      </w:r>
    </w:p>
    <w:p>
      <w:r>
        <w:rPr>
          <w:b/>
        </w:rPr>
        <w:t>E. 9</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Die Drittperson markierte ihre Einschwär- zungsanträge rot. Anhand dieser so vorgenommenen Einschwärzungen markierte das BAG die Textstellen in gelb, bei welchen es das Geheimhaltungsinteresse der Drittperson als ungenügend nachgewiesen erachtete. Bei den übrigen Stellen, die rot eingezeichnet sind und keine Bemer- kungen enthalten, teilte es der Drittperson mit, an diesen bestehe nach Ansicht des BAG ein legi- times Geheimhaltungsinteresse der Drittperson. Zudem hielt es fest, dass es den Geheimnisbe- griff möglichst weit interpretiere. Allerdings gebiete das Transparenzprinzip auch, dass Schwärzungen nachvollziehbar erfolgen müssten, d.h. der Kontext ersichtlich bleibe ("transparen- tes Schwärzen"). Dann wies das BAG weiter jene Stellen in den Verträgen aus, welche es entge- gen den Anträgen der Drittperson nicht übernommen hatte. Es teilte der Drittperson mit, dass sie, sofern Differenzen zu der von ihr beim BAG eingereichten Version bestehen würden und sie an den Einschwärzungen festhalten sollte, bis spätestens am 7. Juni 2022 zusätzliche, nachvollzieh- bare Begründungen zu liefern habe, weshalb die fragliche Passage entgegen der Einschätzung des BAG nicht offengelegt werden soll (Beilage 65; s. Ziff. 1).</w:t>
      </w:r>
    </w:p>
    <w:p>
      <w:r>
        <w:rPr>
          <w:b/>
        </w:rPr>
        <w:t>E. 10</w:t>
      </w:r>
    </w:p>
    <w:p>
      <w:r>
        <w:t>Mit E-Mail vom 7. Juni 2022 antwortete die Drittperson dem BAG, sie sei mit den vorgeschlagenen Änderungen einverstanden (Beilage 66, s. Ziff. 1).</w:t>
      </w:r>
    </w:p>
    <w:p>
      <w:r>
        <w:rPr>
          <w:b/>
        </w:rPr>
        <w:t>E. 11</w:t>
      </w:r>
    </w:p>
    <w:p>
      <w:r>
        <w:t>Mit Schreiben vom 28. Juni 2022 an die Drittperson schloss das BAG das Anhörungsverfahren ab. Darin bezog es sich auf seinen Einschwärzungsvorschlag vom 25. Mai 2022 und verwies auf die beigelegten Vereinbarungen, welche es teilweise geschwärzt zu veröffentlichen beabsichtigt. Zur erleichterten Prüfung stellte es zusätzlich eine nachvollziehbare bzw. lediglich markierte Ver- sion zu. Gleichzeitig wies es die Drittperson auf die Möglichkeit hin, einen Schlichtungsantrag beim Beauftragten stellen zu können. Zudem informierte es erneut, dass es aufgrund der Vielzahl an Gesuchstellenden und des grossen öffentlichen Interesses beabsichtige, diese Dokumente auf der Website des BAG zu veröffentlichen (Beilage 67, s. Ziff. 1).</w:t>
      </w:r>
    </w:p>
    <w:p>
      <w:r>
        <w:rPr>
          <w:b/>
        </w:rPr>
        <w:t>E. 12</w:t>
      </w:r>
    </w:p>
    <w:p>
      <w:r>
        <w:t>Das BAG veröffentlichte am 3. August 2022 die Vereinbarungen zu den Covid-19-Impfstoffen auf seiner Webseite3 und informierte: "Die Offenlegung der Verträge zur Beschaffung der Covid-19-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13</w:t>
      </w:r>
    </w:p>
    <w:p>
      <w:r>
        <w:t>Anfangs August 2022 informierte das BAG alle bisherigen Zugangsgesuchstellenden, so auch vorliegend sechs Antragstellende,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w:t>
      </w:r>
    </w:p>
    <w:p>
      <w:r>
        <w:t>3 Beschaffungsverträge Covid-19-Impfstoffe (admin.ch), zuletzt besucht am 24.10.2023.</w:t>
      </w:r>
    </w:p>
    <w:p>
      <w:r>
        <w:t>4/23 weshalb diese Ausnahmebestimmungen erfüllt sind, erfolgte nicht. Hingegen enthielt dieses Schreiben eine Rechtsmittelbelehrung, wonach ein Schlichtungsantrag beim Beauftragten einge- reicht werden könne. Dieselbe Information erhielt ein weiterer Antragsteller am 29. Septem- ber 2022 und ein anderer am 2. März 2023.</w:t>
      </w:r>
    </w:p>
    <w:p>
      <w:r>
        <w:rPr>
          <w:b/>
        </w:rPr>
        <w:t>E. 14</w:t>
      </w:r>
    </w:p>
    <w:p>
      <w:r>
        <w:t>Beim Beauftragten sind in der Folge zu den 27 veröffentlichten Vereinbarungen, die sechs Unter- nehmen betreffen, insgesamt zehn Schlichtungsanträge eingegangen, wobei die Antragstellen- den dazu je unterschiedlich Zugang verlangt haben.</w:t>
      </w:r>
    </w:p>
    <w:p>
      <w:r>
        <w:rPr>
          <w:b/>
        </w:rPr>
        <w:t>E. 15</w:t>
      </w:r>
    </w:p>
    <w:p>
      <w:r>
        <w:t>Ein Antragsteller beantragte Folgendes: "Es seien die Akten des Anhörungsverfahrens von Amtes wegen beim Gesuchsgegner zu edieren." Dazu hielt das BAG in seiner Stellungnahme vom 14. Oktober 2022 fest, dass beim BAG kein Zugangsgesuch zu den Verfahrensdokumenten im Rahmen der Anhörung eingegangen sei und daher diese Dokumente nicht Gegenstand des Schlichtungsverfahrens seien.</w:t>
      </w:r>
    </w:p>
    <w:p>
      <w:r>
        <w:rPr>
          <w:b/>
        </w:rPr>
        <w:t>E. 16</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17</w:t>
      </w:r>
    </w:p>
    <w:p>
      <w:r>
        <w:t>Mit Schreiben vom 18. August 2022, 6. Oktober 2022 und 9. März 2023 bestätigte der Beauftragte den Antragstellenden den Eingang ihrer Schlichtungsanträge.</w:t>
      </w:r>
    </w:p>
    <w:p>
      <w:r>
        <w:rPr>
          <w:b/>
        </w:rPr>
        <w:t>E. 18</w:t>
      </w:r>
    </w:p>
    <w:p>
      <w:r>
        <w:t>Mit E-Mail vom 31. August 2022 zeigte der Beauftragte dem BAG den Eingang von Schlichtungs- anträgen an und forderte es auf, die verlangten Dokumente und bei Bedarf eine ergänzende Stel- lungnahme einzureichen. Weitere Eingänge von Schlichtungsanträgen wurde dem BAG mit E- Mail vom 6. Oktober 2022 bzw. 9. März 2023 angezeigt.</w:t>
      </w:r>
    </w:p>
    <w:p>
      <w:r>
        <w:rPr>
          <w:b/>
        </w:rPr>
        <w:t>E. 19</w:t>
      </w:r>
    </w:p>
    <w:p>
      <w:r>
        <w:t>Am 21. September 2022 ersuchte das BAG um eine Fristerstreckung. Der Beauftragte gewährte dem BAG eine solche gleichentags bis zum 14. Oktober 2022.</w:t>
      </w:r>
    </w:p>
    <w:p>
      <w:r>
        <w:rPr>
          <w:b/>
        </w:rPr>
        <w:t>E. 20</w:t>
      </w:r>
    </w:p>
    <w:p>
      <w:r>
        <w:t>Am 26. September 2022 ersuchten die Rechtsvertreter der Drittperson um die Teilnahme an die- sem Schlichtungsverfahren und um die Zustellung der Schlichtungsanträge. Der Beauftragte stellt fest, dass die Drittperson keinen Schlichtungsantrag nach Art. 13 Abs. 1 Bst. c BGÖ gestellt hat. Sie wurde vom BAG als betroffene Drittperson im Anhörungsverfahren bereits angehört und war mit der beabsichtigten Aufschaltung der Verträge gemäss Einschwärzungsvorschlag des BAG einverstanden.4 Das BAG hält im Schlichtungsverfahren an sämtlichen Einschwärzungen fest.</w:t>
      </w:r>
    </w:p>
    <w:p>
      <w:r>
        <w:rPr>
          <w:b/>
        </w:rPr>
        <w:t>E. 21</w:t>
      </w:r>
    </w:p>
    <w:p>
      <w:r>
        <w:t>Am 14. Oktober 2022 stellt das BAG dem Beauftragten 26 Vereinbarungen, Verfahrensakten (ins- gesamt 42 Beilagen) sowie seine Stellungnahme zu.</w:t>
      </w:r>
    </w:p>
    <w:p>
      <w:r>
        <w:rPr>
          <w:b/>
        </w:rPr>
        <w:t>E. 22</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 be- 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w:t>
      </w:r>
    </w:p>
    <w:p>
      <w:r>
        <w:t>4 Empfehlung EDÖB vom 24. August.2023: GS-VBS / Administrativuntersuchungsbericht, Ziff. 16.</w:t>
      </w:r>
    </w:p>
    <w:p>
      <w:r>
        <w:t>5/23 betreffenden Hersteller auf umfassende Verweigerung des Zugangs wurde deshalb abgelehnt. Einige Hersteller sprachen sich auch nach der ersten Anhörungsrunde weiterhin für eine vollstän- dige Verweigerung des Zugangs zum Vertrag aus. Das BAG blieb bei seinem Standpunkt, dass die Vertragsinhalte nicht integral als Geschäftsgeheimnisse qualifiziert werden können und hielt fest, dass es beabsichtige, einen Teilzugang zu den Dokumenten zu gewähren. Es gab den Her- stellern nochmals Gelegenheit, das Vorliegen von Berufs-, Geschäfts- oder Fabrikationsgeheim- nissen im Einzelfall hinreichend zu begründen sowie schutzwürdige Personendaten anzuzeigen. Soweit nicht bereits erfolgt, legten die Hersteller in der Folge dar, welche konkreten Textpassagen in den Vertragsdokumenten nach ihrer Auffassung Geschäftsgeheimnisse darstellen würden und inwiefern deren Offenbarung zu einer Beeinträchtigung des geschäftlichen Erfolgs des Unterneh- mens führen könnte. Während einige der beantragten Schwärzungen nachvollziehbar begründet waren, hat das BAG andere Schwärzungsanträge insgesamt oder teilweise zurückgewiesen.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weiteren Anhö- rungsrunde die Gelegenheit, die Schwärzungsanträge besser zu begründen. Im Ergebnis ergab sich für das BAG häufig, dass die Vertragsbestandteile und die Grundsätze in den einzelnen Ver- tragsklauseln offengelegt werden können, die darüber hinaus ausgeführten Einzelheiten aber über weite Strecken tatsächlich Geschäftsgeheimnisse enthalten, weshalb sie zu schwärzen sind."</w:t>
      </w:r>
    </w:p>
    <w:p>
      <w:r>
        <w:rPr>
          <w:b/>
        </w:rPr>
        <w:t>E. 23</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rPr>
          <w:b/>
        </w:rPr>
        <w:t>E. 24</w:t>
      </w:r>
    </w:p>
    <w:p>
      <w:r>
        <w:t>Die verlangten Dokumente und einen Begleitbrief stellte das BAG dem Beauftragten am 14. No- vember 2022 zu.</w:t>
      </w:r>
    </w:p>
    <w:p>
      <w:r>
        <w:rPr>
          <w:b/>
        </w:rPr>
        <w:t>E. 25</w:t>
      </w:r>
    </w:p>
    <w:p>
      <w:r>
        <w:t>Insgesamt wurden dem Beauftragten gemäss Beilagenverzeichnisse des BAG 73 Beilagen zuge- stellt.</w:t>
      </w:r>
    </w:p>
    <w:p>
      <w:r>
        <w:rPr>
          <w:b/>
        </w:rPr>
        <w:t>E. 26</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27</w:t>
      </w:r>
    </w:p>
    <w:p>
      <w:r>
        <w:t>Auf die weiteren Ausführungen der Antragstellenden und des BAG sowie auf die vom BAG einge- 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28</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rPr>
          <w:b/>
        </w:rPr>
        <w:t>E. 29</w:t>
      </w:r>
    </w:p>
    <w:p>
      <w:r>
        <w:t>Beim Beauftragten sind zu den 27 veröffentlichten Vereinbarungen, die sechs Unternehmen be- treffen, insgesamt zehn Schlichtungsanträge eingegangen, wobei die Antragstellenden unter- schiedlich dazu Zugang verlangt haben. Zu den Vereinbarungen der Drittperson sind neun Schlichtungsanträge eingegangen. Davon konnte einer nicht bearbeitet werden, weil die betref- fende Person dem Beauftragten weder ihre Auslandsadresse noch ein Zustelldomizil in der Schweiz bezeichnet hat, weshalb eine rechtskonforme Zustellung einer Empfehlung bzw. eines</w:t>
      </w:r>
    </w:p>
    <w:p>
      <w:r>
        <w:t>6/23 Nichteintretens an sie nicht möglich ist. Somit betrifft das vorliegende Schlichtungsverfahren acht Antragstellende.</w:t>
      </w:r>
    </w:p>
    <w:p>
      <w:r>
        <w:rPr>
          <w:b/>
        </w:rPr>
        <w:t>E. 30</w:t>
      </w:r>
    </w:p>
    <w:p>
      <w:r>
        <w:t>Die Drittperson wurde nach Art. 11 Abs. 1 BGÖ angehört. Das BAG schloss das Anhörungsver- fahren gemäss Schreiben vom 28. Juni 2022 inkl. Rechtsmittelbelehrung ab. Als betroffene Dritte nahm sie an einem vorangegangenen Gesuchs- und Anhörungsverfahren teil. Sie reichte keinen Schlichtungsantrag gemäss Art. 13 Abs. 1 Bst. c BGÖ ein. Aus Gründen der Rechtsweggarantie (Art. 29a Bundesverfassung der Schweizerischen Eidgenossenschaft, BV; SR 101, und Art. 29a Bundesgesetz über das Verwaltungsverfahren, Verwaltungsverfahrensgesetz, VwVG; SR 172.021) wird ihr die vorliegende Empfehlung eröffnet.</w:t>
      </w:r>
    </w:p>
    <w:p>
      <w:r>
        <w:rPr>
          <w:b/>
        </w:rPr>
        <w:t>E. 31</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32</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ab.6 Dies hat zur Folge, dass für jede Drittperson, d.h. jedes der sechs Unternehmen, je eine Empfehlung er- stellt und eröffnet wird. Den Antragstellenden werden jeweils mehrere Empfehlungen (teilweise anonymisiert) entsprechend ihrer Schlichtungsanträge eröffnet.7 B. Materielle Erwägungen</w:t>
      </w:r>
    </w:p>
    <w:p>
      <w:r>
        <w:rPr>
          <w:b/>
        </w:rPr>
        <w:t>E. 33</w:t>
      </w:r>
    </w:p>
    <w:p>
      <w:r>
        <w:t>Der Beauftragte prüft nach Art. 12 Abs. 1 VBGÖ die Rechtmässigkeit und die Angemessenheit der Beurteilung des Zugangsgesuches durch die Behörde.8</w:t>
      </w:r>
    </w:p>
    <w:p>
      <w:r>
        <w:rPr>
          <w:b/>
        </w:rPr>
        <w:t>E. 34</w:t>
      </w:r>
    </w:p>
    <w:p>
      <w:r>
        <w:t>Einleitend ist zu bemerken, dass sich der Beauftragte bisher in seinen Empfehlungen zu den Impf- stoffverträgen materiell nicht zur Frage der Einschwärzungen geäussert hat, da einzig die Frage offenstand, ob das BAG die Bearbeitung der Zugangsgesuche aufschieben konnte (s. Ziff. 4 f.).</w:t>
      </w:r>
    </w:p>
    <w:p>
      <w:r>
        <w:rPr>
          <w:b/>
        </w:rPr>
        <w:t>E. 35</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rPr>
          <w:b/>
        </w:rPr>
        <w:t>E. 36</w:t>
      </w:r>
    </w:p>
    <w:p>
      <w:r>
        <w:t>Zum Antrag eines Antragstellers auf Edition der Akten im laufenden Schichtungsverfahren äussert sich der Beauftragte wie folgt: Die Verfahrensakten der Anhörung werden vom Beauftragten in das Schlichtungsverfahren einbezogen. Ein Antrag einer gesuchstellenden Person ist daher nicht erforderlich.</w:t>
      </w:r>
    </w:p>
    <w:p>
      <w:r>
        <w:rPr>
          <w:b/>
        </w:rPr>
        <w:t>E. 37</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rPr>
          <w:b/>
        </w:rPr>
        <w:t>E. 38</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26. 7 Urteil des BVGer A-6755/2016 vom 23. Oktober 2017 E. 3 f. 8 GUY-ECABERT, in: Handkommentar BGÖ, Art. 13, Rz 8.</w:t>
      </w:r>
    </w:p>
    <w:p>
      <w:r>
        <w:t>7/23 Verwirklichung des Öffentlichkeitsprinzips und sein Erfolg hängen von verschiedenen Faktoren ab, die das Verfahren betreffen. In zeitlicher Hinsicht ist wesentlich, dass die Verfahrensdauer auf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äussern.9 Weiter hat der Beauftragte im Schlichtungsverfahren den Grundsatz der Vertraulichkeit zu wahren.10 Dies bedeutet, dass er den Verfahrensbeteiligten keine Dokumente zustellt. Schliesslich ist zu bedenken, dass das Schlichtungsverfahren ein Mediationsverfahren ist.11 Der Grundsatz des kontradiktorischen Verfahrens ist auf eine Schlichtung, die mit einer un- verbindlichen Empfehlung im Falle einer Nichteinigung abschliesst, faktisch nicht anwendbar.12 So hat denn auch das Bundesverwaltungsgericht entschieden, dass das VwVG und das dort vor- gesehene Akteneinsichtsrecht in diesem Stadium des Verfahrens nicht zur Anwendung gelangt.13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 fahrensdokumenten auch allfällige Informationen enthalten sein können, zu welchen Gesuchstel- lende bereits im laufenden Schlichtungsverfahren Einsicht erwirken wollen und an denen Dritte ein Geheimhaltungsinteresse haben. Demzufolge besteht kein Anspruch auf Zugang zu den ver- langten Akten des laufenden Schlichtungsverfahrens.</w:t>
      </w:r>
    </w:p>
    <w:p>
      <w:r>
        <w:rPr>
          <w:b/>
        </w:rPr>
        <w:t>E. 39</w:t>
      </w:r>
    </w:p>
    <w:p>
      <w:r>
        <w:t>Zum Antrag der Rechtsvertreter der Drittperson um die Teilnahme am vorliegenden Schlichtungs- verfahren und um die Zustellung der Schlichtungsanträge ist Folgendes zu beachten: Die Dritt- person wurde vom BAG gemäss Art. 11 Abs. 1 BGÖ mehrmals angehört und hatte so die Mög- lichkeit, dem BAG ihre Argumente zum Streitgegenstand darzulegen. Das BAG hat das Anhörungsverfahren nach Art. 11 BGÖ korrekt mit einer Rechtsmittelbelehrung abgeschlossen. Vorliegend hat sich die betroffene Dritte mit dem BAG über den Einschwärzungsvorschlag geei- nigt und war auch mit der teilweisen Veröffentlichung der Verträge durch das BAG einverstanden. Infolge Einigung besteht kein Schlichtungsgrund nach Art. 13 Abs. 1 Bst. c BGÖ. Die betroffene Person hat denn auch keinen Schlichtungsantrag eingereicht. Reichen die Dritten keinen Schlich- tungsantrag ein, ist ihr Einbezug in das Verfahren zu diesem Zeitpunkt grundsätzlich abgeschlos- sen. Folgt die Behörde der Ansicht des angehörten Dritten in ihrer Stellungnahme nach Art. 11 Abs. 2 BGÖ bzw. Art. 12 Abs. 4 BGÖ, so vertritt sie im allenfalls nachfolgenden Schlichtungsver- fahren die privaten Interessen der angehörten Dritten.14 In diesem Schlichtungsverfahren hält das BAG an sämtlichen Einschwärzungen fest. Die vorliegende Empfehlung wird der Drittperson er- öffnet, womit diese, falls sie mit der Empfehlung nicht einverstanden sein sollte, beim BAG eine Verfügung nach Art. 15 Abs. 1 BGÖ verlangen kann, womit der Rechtsweg garantiert ist (Art. 29a BV und Art. 25a VwVG).15 Es bestand daher kein Anspruch am Schlichtungsverfahren teilzunehmen.</w:t>
      </w:r>
    </w:p>
    <w:p>
      <w:r>
        <w:rPr>
          <w:b/>
        </w:rPr>
        <w:t>E. 40</w:t>
      </w:r>
    </w:p>
    <w:p>
      <w:r>
        <w:t>Das BAG nannte bei der Vorabinformation gegenüber den Antragstellenden zwar als Grund bei den Einschwärzungen die Gesetzesbestimmungen nach Art. 7 Abs. 1 Bst. g BGÖ und Art. 9 Abs. 1 BGÖ, liess ihnen aber keine summarische Begründung im Sinne von Art. 12 Abs. 4 BGÖ zukommen. Bei der Veröffentlichung der Verträge auf seiner Webseite16 verwies es auf Art. 7 Abs. 1 Bst. g BGÖ. Gegenüber dem Beauftragten äussert sich das BAG in seiner Stellungnahme vom 14. Oktober 2022 zu den Einschwärzungen aller Verträge zusammenfassend wie folgt:</w:t>
      </w:r>
    </w:p>
    <w:p>
      <w:r>
        <w:t>9 BBl 2003 2002 und 2019; HÄNER, in: Handkommentar BGÖ, Art. 10, Rz 6; Urteil des BVGer A-7369/2006 vom 24. Juli 2007 E. 4.1. 10 GUY-ECABERT, in: Handkommentar BGÖ, Art. 13, Rz 14. 11 Urteil des BVGer A-6755/2016 vom 23. Oktober 2017 E. 4.1.3.2. 12 GUY-ECABERT, in: Handkommentar BGÖ, Art. 13, Rz 47. 13 Urteil des BVGer A-3649/2014 vom 25. Januar 2016 E. 3.2.1; Urteil des BVGer A-6755/2016 vom 23. Oktober 2017 E. 4.1.3. 14 Empfehlung EDÖB vom 24. August 2023: GS-VBS Administrativuntersuchungsbericht, Ziff. 16. 15 Vgl. Urteil des BVGer A-6755/2016 vom 23. Oktober 2017 E. 4.1.3.1 ff. 16 Beschaffungsverträge Covid-19-Impfstoffe (admin.ch), zuletzt besucht am 24.10.2023.</w:t>
      </w:r>
    </w:p>
    <w:p>
      <w:r>
        <w:t>8/23 "Nach Abschluss der Verhandlungen mit den Herstellern und teils entgegen deren Hauptanträge hat das BAG am 3. August 2022 durch Veröffentlichung auf seiner Website Zugang zu den Ver- trägen zur Beschaffung von Covid-19-Impfstoffen gewährt. Die dabei vorgenommenen Schwär- zungen sind nach Auffassung des BAG aus Gründen des Geschäftsgeheimnisses (Art. 7 Abs. 1 Bst. g BGÖ) und Persönlichkeitsschutzes (Art. 9 BGÖ) sowie zum Schutz der aussenpolitischen Interessen und der internationalen Beziehungen (Art. 7 Abs. 1 Bst. f [recte d] BGÖ) gerechtfertigt. Das BAG hält deshalb an sämtlichen geschwärzten Passagen in allen Verträgen fest. […] Das BAG ist sich bewusst, dass die publizierten Dokumente vergleichsweise umfangreiche Schwär- zungen enthalten. Umgekehrt entsprach und entspricht es weiterhin der Haltung des BAG und des Bundesrates, der Öffentlichkeit ein umfassendes Bild über die Impfstoffbeschaffung zu geben. Das BAG hat deshalb früh auf seiner Internetseite und in Medienmitteilungen laufend über den Stand der Verhandlungen informiert und soweit unter den gegebenen Umständen möglich, Trans- parenz bei der Impfstoffbeschaffung geschaffen. Die folgenden Tatsachen der Covid-19-Impfstoff- beschaffung sind denn auch öffentlich bekannt: das Gesamtbudget, die Gesamtausgaben, sämt- liche Hersteller sowie die Anzahl der eingegangenen Verträge, die Anzahl der vertraglich vereinbarten Impfdosen, die allgemeinen Haftungsregeln im Falle von Impfschäden sowie die Möglichkeiten des Bundes bezüglich Schadloshaltung. Auf der Grundlage der öffentlich zugängli- chen Informationen lässt sich ohne Weiteres der Durchschnittspreis pro Impfdose berechnen: Fi- nanzkommission des Nationalrates – Voranschlag 2022, Nachtrag Ib vom 7. Juni 2022 (siehe S. 2)[17], Botschaft zur Staatsrechnung 2021 vom 30. März 2022 (siehe S. 138).[18] Abschliessend ist festzustellen, dass auch aus Gründen der Versorgungssicherheit und aus aussenpolitischen Interessen sowie zum Schutz der internationalen Beziehungen der Schweiz die vorgenommenen Schwärzungen notwendig und deshalb beizubehalten sind."</w:t>
      </w:r>
    </w:p>
    <w:p>
      <w:r>
        <w:rPr>
          <w:b/>
        </w:rPr>
        <w:t>E. 41</w:t>
      </w:r>
    </w:p>
    <w:p>
      <w:r>
        <w:t>Weiter führt das BAG in der vorerwähnten Stellungnahme gegenüber dem Beauftragten aus: "Bei der Prüfung und Plausibilisierung der einzelnen von den Herstellern und den Vertragsstaaten gel- tend gemachten Einschränkungen des Zugangs anhand der gesetzlichen Ausnahmegründe war die besondere Marktsituation wie auch die internationale Dimension bei der Beschaffung von Impf- stoffen zu berücksichtigen. Fest steht, dass sich die Marktsituation noch nicht normalisiert hat und Akteure des Gesundheitswesens weiterhin nicht auf dem freien Markt Covid-19-Impfstoffe be- 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(weil die Schweiz schneller zu einer Vereinbarung mit dem Hersteller fand wie z. 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 mo- ver), würde sich die Schweiz bei zukünftigen globalen Pandemien die Möglichkeit verbauen, mit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 in den Vereinbarungen zwischen der Europäischen Kommission und den Herstellern für die Lieferung von Dosen für Eu- ropa (sog. Advance Purchase Agreements, nachfolgend EU-APA), die öffentlich abrufbar sind.19</w:t>
      </w:r>
    </w:p>
    <w:p>
      <w:r>
        <w:t>17 https://www.newsd.admin.ch/newsd/message/attachments/71886.pdf, zuletzt besucht am 24.10.2023. 18 https://www.efv.admin.ch/dam/efv/de/dokumente/Finanzberichte/finanzberichte/rechnung/2021/rg1-2021.pdf.download.pdf/RG1_d.pdf, zuletzt besucht am 24.10.2023. 19 https://ec.europa.eu/info/live-work-travel-eu/coronavirus-response/public-health/eu-vaccines-strategy_en#documents, zuletzt besucht am 24.10.2023.</w:t>
      </w:r>
    </w:p>
    <w:p>
      <w:r>
        <w:t>9/23 Die EU habe in ihren APA gewisse Aspekte zugänglich gemacht, aber andere wiederum ge- schwärzt. "Das BAG hat keine Kenntnisse davon, wie die Schwärzungen im Einzelnen begründet wurden."</w:t>
      </w:r>
    </w:p>
    <w:p>
      <w:r>
        <w:rPr>
          <w:b/>
        </w:rPr>
        <w:t>E. 42</w:t>
      </w:r>
    </w:p>
    <w:p>
      <w:r>
        <w:t>Zur Offenlegung durchgesickerter Verträge wendet das BAG in seiner Stellungnahme vom 14. Ok- tober 2022 an den Beauftragten ein, dass die "Veröffentlichungen" weder im Rahmen einer aktiven Information erfolgt sind noch im Rahmen eines Zugangs nach ausländischen Transparenzgeset- zen. Bereits deshalb seien diese irrelevant für die vorliegende Beurteilung.</w:t>
      </w:r>
    </w:p>
    <w:p>
      <w:r>
        <w:rPr>
          <w:b/>
        </w:rPr>
        <w:t>E. 43</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 sind.20 Weitere öffentlich zugänglich gemachte Informationen wie bspw. der Europäischen Arznei- mittelagentur sind ebenfalls nicht einzuschwärzen. Ob solche vorliegen, hat das BAG als Fachbe- hörde21 abzuklären, wobei eine entsprechende Prüfung aufgrund der besonderen Komplexität vom Verhältnismässigkeitsprinzip begrenzt sein kann.</w:t>
      </w:r>
    </w:p>
    <w:p>
      <w:r>
        <w:rPr>
          <w:b/>
        </w:rPr>
        <w:t>E. 44</w:t>
      </w:r>
    </w:p>
    <w:p>
      <w:r>
        <w:t>Hingegen kann das BAG aus den Einschwärzungen der EU-APA keine Rechtfertigung für die Einschwärzungen der Verträge in der Schweiz ableiten, zumal zu den EU-Verträgen Rechtsver- fahren hängig sind22 und die Europäische Staatsanwaltschaft eine Untersuchung zur Beschaffung der Covid-19-Impfstoffe in der EU durchführt.23 Massgebend für die Beurteilung der vorliegenden Gesuche ist zudem, wie das Bundesverwaltungsgericht in zwei Urteilen24 festgehalten hat, nicht die Rechtslage und die hierzu entwickelte Praxis anderer Länder, sondern einzig die Schweizer Gesetzgebung und Rechtsprechung.</w:t>
      </w:r>
    </w:p>
    <w:p>
      <w:r>
        <w:rPr>
          <w:b/>
        </w:rPr>
        <w:t>E. 45</w:t>
      </w:r>
    </w:p>
    <w:p>
      <w:r>
        <w:t>Die Drittperson berief sich im Anhörungsverfahren nach Art. 11 BGÖ auf folgende Ausnahme- gründe: Art. 7 Abs. 1 Bst. g BGÖ, Art. 7 Abs. 1 Bst. h BGÖ und auf Art. 9 Abs. 1 BGÖ.</w:t>
      </w:r>
    </w:p>
    <w:p>
      <w:r>
        <w:rPr>
          <w:b/>
        </w:rPr>
        <w:t>E. 46</w:t>
      </w:r>
    </w:p>
    <w:p>
      <w:r>
        <w:t>Während die überwiegende Mehrheit der Antragstellenden sich nicht konkret zu den vorgenom- menen Einschwärzungen des BAG geäussert hat, was nach Öffentlichkeitsgesetz auch nicht er- forderlich ist, erklärte ein Antragsteller, dass er "[a]ls steuerzahlender und von der Pandemie mit- betroffener Bürger […] ein namhaftes schutzwürdiges Interesse an der Offenlegung der geschwärzten Textpassagen [habe], dies um sich (a) über die Geheimhaltungspraktiken des Bun- desrates resp. des BAG, (b) über die finanziellen Auswirkungen der Impflieferungen auf den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 tungs-) Konditionen wurden nun aber geschwärzt. Mithin wurde alles Relevante geschwärzt […]".</w:t>
      </w:r>
    </w:p>
    <w:p>
      <w:r>
        <w:rPr>
          <w:b/>
        </w:rPr>
        <w:t>E. 47</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48</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Bundesverwaltungsgericht25 hatte kürzlich einen Fall zu beurteilen, bei welchem das neue Datenschutzgesetz während des hängi- gen Beschwerdeverfahrens in Kraft getreten ist. Es weist darauf hin, dass die Rechtmässigkeit</w:t>
      </w:r>
    </w:p>
    <w:p>
      <w:r>
        <w:t>20 Comparison of US COVID-19 Contracts, zuletzt besucht am 24.10.2023. 21 Urteil des BVGer A-1051/2022 vom 29. August 2023 E. 10.2. 22 Klage gegen EU-Kommission wegen Intransparenz bei Impfstoffverträgen (aerzteblatt.de), besucht am 24.10.2023. 23 Ongoing EPPO investigation into the acquisition of COVID-19 vaccines in the EU | European Public Prosecutor’s Office (europa.eu), zu- letzt besucht am 24.10.2023. 24 Urteil des BVGer A-6755/2016 vom 23. Oktober 2017 E. 5.5; Urteil des BVGer A-1156/2011 vom 22. Dezember 2011 E. 8.3.3. 25 Urteil des BVGer A-516/2022 vom 12. September 2023 E. 8.2.2 m.w.H.</w:t>
      </w:r>
    </w:p>
    <w:p>
      <w:r>
        <w:t>10/23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Art. 9 Abs. 1 BGÖ</w:t>
      </w:r>
    </w:p>
    <w:p>
      <w:r>
        <w:rPr>
          <w:b/>
        </w:rPr>
        <w:t>E. 49</w:t>
      </w:r>
    </w:p>
    <w:p>
      <w:r>
        <w:t>Nach Art. 9 Abs. 1 BGÖ sind amtliche Dokumente, die Personendaten enthalten, wenn möglich zu anonymisieren. Eine Anonymisierung der Personendaten nach Art. 9 Abs. 1 BGÖ entspricht dem Verhältnismässigkeitsprinzip.26 Hinsichtlich der Bekanntgabe von Personendaten von Bun- desangestellten gilt es überdies zu beachten, dass die Rechtsprechung keine Hierarchiestufe fest- gelegt hat, ab derer entsprechende Personendaten unbesehen und ohne Begründung bekannt gegeben resp. unterhalb derer die Personendaten unbesehen und ohne Begründung anonymisiert werden dürfen. Der Zugang zu Personendaten ist stets im Einzelfall unter Berücksichtigung der Bestimmungen des Öffentlichkeitsgesetzes und der einschlägigen Rechtsprechung zu beurtei- len.27</w:t>
      </w:r>
    </w:p>
    <w:p>
      <w:r>
        <w:rPr>
          <w:b/>
        </w:rPr>
        <w:t>E. 50</w:t>
      </w:r>
    </w:p>
    <w:p>
      <w:r>
        <w:t>https://www.swissmedic.ch/swissmedic/de/home/news/coronavirus-covid-19/stand-zl-bekaempfung-covid-19.html, https://www.swissme- dic.ch/swissmedic/de/home/humanarzneimittel/authorisations/new-medicines.html und https://compendium.ch/, zuletzt besucht am 24.10.2023. 51 Empfehlung EDÖB vom 9. Juni 2020: Swissmedic / Protokoll Human Medicines Expert Committee (HMEC), Ziff. 30. 52 Vgl. auch Urteil des BVGer A-6108/2016 vom 28. März 2018 E. 7.4. 53 Vgl. dazu TSCHERRIG, Preise als Geschäftsgeheimnis nach dem Öffentlichkeitsgesetz, in: sui-generis 2019, S. 215-226 N 26.</w:t>
      </w:r>
    </w:p>
    <w:p>
      <w:r>
        <w:t>16/23 in der akuten Frühphase, Gewährleistung der Versorgungssicherheit durch den Staat) sowie auf- grund regulatorischer Bestimmungen (befristete Zulassung durch Swissmedic) schliesslich schneller einen neu entwickelten Impfstoff auf den Markt bringen und verkaufen konnte. Dadurch und mit dem Staat als Vertragspartner sowie der damit verbundenen gesicherten Kaufpreiszah- lung hat sie einen wirtschaftlichen Vorteil erhalten. Dass, wie das BAG argumentiert, die Unter- nehmen, da sie direkt mit Staaten verhandeln, "über eine gewisse Marktmacht verfügen", spricht nicht für, sondern gegen einen Wettbewerbsnachteil. Letztlich ist zu berücksichtigen, dass mit der Impfstoffbeschaffung ein erheblicher Betrag an Steuergeldern eingesetzt wurde.54 76. Schliesslich fällt ins Gewicht, dass das BAG nicht nur für die Drittperson des vorliegenden Schlich- tungsverfahrens, sondern auch für die übrigen Impfstoffhersteller das gleiche Argument der Wett- bewerbs- und Marktsituation vorbringt, was im Ergebnis zu einem "kollektiven Geschäftsgeheim- nis" in Bezug auf die Impfverträge führt, was nicht dem Sinn und Zweck des Art. 7 Abs. 1 Bst. g BGÖ entspricht. Auch der Einwand, es bestünde auf globaler Ebene eine andauernde aus- sergewöhnliche Wettbewerbs- und Marktsituation, insbesondere weil die mRNA-Technologie den Beginn einer ganz neuen Klasse von Arzneimitteln darstelle, ist nicht überzeugend, zumal, sofern entsprechende Informationen in den Kaufverträgen vorhanden sein sollten, diese vom Fabrikati- onsgeheimnis geschützt wären, was konkret vom BAG darzulegen wäre. Vorliegend kaufte der Bund das Produkt, d.h. fertiggestellte Impfstoffe, und nicht die Technologie zur Herstellung des gekauften Produktes. Die vom BAG erfolgte Einschätzung des Schadensrisikos (s. Ziff. 61) zum Preis sowie der Zahlungsinformationen erweist sich daher bisher als nicht stichhaltig begründet. Demzufolge ist auch der Nachweis eines objektiven Geheimhaltungsinteresses bis anhin nicht erbracht worden, weshalb der angerufene Ausnahmegrund nach Art. 7 Abs. 1 Bst. g BGÖ nicht wirksam ist. Ergänzend ist zu bemerken, dass die staatliche Beschaffung von Impfstoffen für die Covid-Krise abgeschlossen ist (s. Ziff. 6). Im Übrigen verweist der Beauftragte auf seine Darle- gungen in den Ziffern 67 und 73 ff. Lieferkonditionen 77. Gemäss BAG umfasst der Aspekt der "Lieferkonditionen" sämtliche Angaben zur Umsetzung der Lieferung, darin miterfasst sind Lieferfristen, Liefermengen, Lieferdaten, zu liefernde Produkte (z.B. gegen Varianten wirksames Produkt) und Bedingungen, die für die Lieferung zu erfüllen sind. 78. Nachdem das BAG die davon betroffenen Bestimmungen tabellarisch darstellt, erklärt es, die Her- steller hätten die Geschäftsgeheimnisse damit begründet, dass Informationen zum Zeitplan, zum Umfang und zum Ablauf der Lieferung, der Lieferfristen und -daten sowie Konsequenzen der Nichteinhaltung nicht allgemein bekannt seien. "Eine Offenlegung würde die wirtschaftlichen Inte- ressen der Hersteller ernsthaft beeinträchtigen, weil sowohl die Konkurrenz als auch andere Käu- fer Kenntnis davon erhalten würden und Erwartungen über den Lieferablauf, Priorisierungen und die Gleichbehandlung gewisser Kunden weckten [sic]. Daraus ergeben sich Wettbewerbsnach- teile für die einzelnen Hersteller, was zu Marktverzerrungen führen würde. Mit diesen Angaben können Rückschlüsse, z.B. auf interne Abläufe der Produktion der Hersteller, deren Kapazitäten gezogen werden. Die Verhaltensmöglichkeiten der Hersteller gegenüber anderen Kunden würden beschränkt. Andere Käufer würden identische Bedingungen fordern und Konkurrenzunternehmen könnten potentiellen Käufern vorteilhaftere Konditionen anbieten. Zudem könnten die Unterneh- men diese Informationen nutzen, um ihren eigenen Vertrieb zu optimieren. Die damit verbundenen kommerziellen Abreden erlauben Rückschlüsse auf die Geschäftsstrategie und die Preisfestset- zung und hätten somit unmittelbar Auswirkungen auf das Geschäftsergebnis und würden zu Marktverzerrungen führen. Eine Bekanntgabe der Informationen führt nach Angaben der Herstel- ler zu gravierenden Wettbewerbsnachteilen, weshalb ein kommerzieller Schaden droht." 79. Zum objektiven Geheimhaltungsinteresse führt das BAG aus: "Die Ausführungen unter dem Titel 'Preis' [s. Ziff. 69 ff.] zur ausserordentlichen Marktsituation sind auch für die Lieferbedingungen relevant. So sind zum Beispiel die zugesicherten Liefermengen oder der Umgang mit Lieferverzö- gerungen für die Hersteller entscheidend in einem globalen Markt, in welchem einerseits Produkt- knappheit herrscht und andererseits die Produktionskapazitäten unglaublich rasch hochgefahren</w:t>
      </w:r>
    </w:p>
    <w:p>
      <w:r>
        <w:t>54 Vgl. dazu Administrativuntersuchung zu den Zahlungsverpflichtungen aus Verträgen zur Beschaffung von Impfstoffen, zuletzt besucht am 24.10.2023.</w:t>
      </w:r>
    </w:p>
    <w:p>
      <w:r>
        <w:t>17/23 werden mussten (mit entsprechenden Ausfallrisiken). Die Lieferbedingungen hängen unmittelbar mit dem Zeitpunkt der Verfügbarkeit des Impfstoffes in der Schweiz zusammen und lassen Rück- schlüsse auf den Produktionsprozess, die Kapazitäten oder auf die Lieferketten zu. Die rasche Verfügbarkeit war ein zentraler Verhandlungspunkt, weshalb mit jedem Hersteller spezifische Zu- sicherungen über allfällige Priorisierungen bei der Lieferung (Menge, Lieferfrist, Haltbarkeit der Produkte und feste Zusagen hierzu) vereinbart wurden. Die Planung der Lieferung und die dies- bezüglichen Zusicherungen der Hersteller gegenüber dem Bund sind äusserst zentral für die Her- steller, da diese Informationen einen direkten Rückschluss auf ihre Produktionsplanung und -ka- pazitäten zulassen. Auch würde ersichtlich, welche Strategie ein Hersteller bezüglich der Zusicherungen von Lieferungen an den jeweiligen Käufer verfolgt und, ob diese an allfällige staat- liche Förder- und Anreizinstrumente anknüpft. Auch lassen die entsprechenden Vertragsbestim- mungen Rückschlüsse auf die Produktionsabläufe und Kapazitätsplanungen der einzelnen Her- steller zu. Sind diese Informationen allgemein bekannt, ist davon auszugehen, dass die Konkurrenzunternehmen im Wissen darum ihre Lieferpläne optimieren können und den Käufern weitergehende Zusicherungen machen können und folglich einen direkten Wettbewerbsvorteil ha- ben, was zu Wettbewerbsverzerrungen führt, die sich auf das Geschäftsergebnis auswirken. Schliesslich können andere Käufer entsprechende Bedingungen und Lieferpläne vom Hersteller fordern, was es für den Hersteller ausschliesst seine Konditionen in weiteren Vertragsverhandlun- gen durchzusetzen. Würden die Lieferkonditionen und die damit verbundenen Informationen of- fengelegt, ist davon auszugehen, dass für jeden Hersteller ein ernsthaftes und konkretes Risiko wirtschaftlicher Schäden besteht. Das Geheimhaltungsinteresse der Hersteller in Bezug auf die Lieferkonditionen erweist sich für das BAG als berechtigt, und in Anwendung von Art. 7 Abs. 1 Bst. g BGÖ sind die betreffenden Passagen zu schwärzen. Im Übrigen hat auch die EU bei der Offenlegung der Verträge diese Aspekte gleichermassen geschwärzt. Die Praxis der Schweiz ist daher mit jener der EU vergleichbar." 80. Das BAG konnte nicht aufzeigen, welchen Nachteil genau die betroffene Drittperson infolge einer staatlichen Beschaffung im Vergleich zu einer üblichen Wettbewerbs- und Marktsituation erleidet. Die vom BAG erfolgte Einschätzung des Schadensrisikos zum Aspekt "Lieferkonditionen" erweist sich daher bisher als nicht stichhaltig begründet. Demzufolge ist auch der Nachweis eines objek- tiven Geheimhaltungsinteresses bisher nicht erbracht worden, weshalb der angerufene Ausnah- megrund nach Art. 7 Abs. 1 Bst. g BGÖ nicht wirksam ist. Ergänzend ist zu bemerken, dass die staatliche Beschaffung von Impfstoffen für die Covid-Krise abgeschlossen ist (s. Ziff. 6). Im Übri- gen verweist der Beauftragte auf seine Darlegungen in den Ziffern 67 und 73 ff. Haftung und Schadloshaltung 81. Zur Kategorie "Haftung" legt das BAG dar: "Der Aspekt der Haftung umfasst sämtliche Angaben zur Frage, wer für Schäden haftet, die durch die Anwendung und Herstellung von Impfstoffen entstehen und inwiefern die Haftung der Hersteller beschränkt oder ausgeschlossen ist. Dazu gehört auch die Frage, ob Hersteller bei Verschulden oder Nichtkonformität mit den Regeln der Guten Herstellungspraxis (GMP) oder der Guten Vertriebspraxis (GDP) von Arzneimitteln eben- falls haften." 82. Nachdem das BAG die davon betroffenen Bestimmungen tabellarisch darstellt, erklärt es, dass die Hersteller zur Begründung unter anderem angeführt haben, dass bei einer Offenlegung der Haftungsbeschränkungen und Haftungsregeln weitere Käufer höchstens das Gleiche akzeptieren und Konkurrenzunternehmen potenziellen Käufern attraktivere Konditionen bieten könnten. "Weil derzeit zahlreiche Unternehmen an der Entwicklung und Herstellung von mRNA-basierten Arznei- mitteln oder anderen Impfstoffen zur Bekämpfung von Sars-CoV-2 arbeiteten, könnten Konkur- renzunternehmen die entsprechenden Informationen zur Haftungsregelung dazu benutzen, um sich Vorteile für den Vertrieb ihrer eigenen Produkte zu verschaffen. Dies führt zu einer Auswir- kung auf das Geschäftsergebnis und zu Marktverzerrungen, da laufende oder künftige Vertrags- verhandlungen massiv beeinträchtigt werden würden." 83. Das BAG führt zum objektiven Geheimhaltungsinteresse aus: "Die Ausführungen unter dem Titel 'Preis' [s. Ziff. 69 ff.] zur ausserordentlichen Wettbewerbs- und Marktsituation sind auch für die Haftungsregeln relevant, so konnte der Bund seine AGB gerade auch zum Thema Haftung bei</w:t>
      </w:r>
    </w:p>
    <w:p>
      <w:r>
        <w:t>18/23 keinem Hersteller durchsetzen, sondern diese waren Gegenstand langwieriger Verhandlungen mit Blick namentlich auf die Risikoverteilung zwischen den Parteien. Im Ergebnis wurden die Haf- tungsregelungen individuell ausgearbeitet, was das Geheimhaltungsinteresse der Hersteller plau- sibel begründet. Sind diese Informationen allgemein bekannt, ist davon auszugehen, dass die Konkurrenzunternehmen im Wissen darum ihre Haftungsregeln optimieren und den Käufern wei- tergehende Zusicherungen machen und folglich einen direkten Wettbewerbsvorteil erzielen. Schliesslich können andere Käufer vom Hersteller entsprechende Haftungsbedingungen fordern, was es dem Hersteller verunmöglicht, seine Konditionen in weiteren Vertragsverhandlungen durchzusetzen. Würden also die Haftungsregeln und die damit verbundenen Informationen offen- gelegt, ist davon auszugehen, dass für jeden Hersteller ein ernsthaftes und konkretes Risiko wirt- schaftlicher Schäden besteht. Das Geheimhaltungsinteresse der Hersteller in Bezug auf die Haf- tungsregeln erweist sich für das BAG somit als berechtigt, und in Anwendung von Art. 7 Abs. 1 Bst. g BGÖ sind die betreffenden Passagen zu schwärzen. Im Übrigen hat auch die EU bei der Offenlegung der Verträge diese Aspekte gleichermassen geschwärzt. Das Vorgehen des BAG ist daher mit jenem der EU vergleichbar." 84. Das BAG erklärt, der Aspekt "Schadloshaltung" umfasse sämtliche Abmachungen zu Kosten, die dem Hersteller aufgrund dessen Haftung gegenüber eines Dritten entstehen und zu deren Über- nahme sich der Bund allenfalls gestützt auf Art. 70 des Bundesgesetzes über die Bekämpfung übertragener Krankheiten (Epidemiegesetz, EpG; SR 818.101) bereit erklärt habe. Neben der Be- zeichnung der massgebenden Kosten seien zudem sämtliche Vereinbarungen zu Ausnahmen, zu Verfahren und zu Informations- und Meldepflichten in diesem Kontext erfasst. "Ziel und Zweck von Artikel 70 EpG ist es, dem Bund die Möglichkeit einzuräumen, bei der Beschaffung von Heil- mitteln nach Art. 44 EpG (dies war vorliegend der Fall), in einer ausserordentlichen oder beson- deren Lage, mittels Vereinbarungen zur Schadloshaltung ein erhöhtes Herstellerrisiko, welches mit der raschen Entwicklung eines neuen Impfstoffs gegen einen neuen Erreger im Pandemiefall einhergeht, auszugleichen." Dazu zitiert das BAG die Botschaft zum EpG55: "Der Bund kann dabei eine Abgabe bzw. Verwendungen des Heilmittels vorsehen, die das Haftungsrisiko der Hersteller unter Umständen erhöhen. So liegt es etwa im Interesse der öffentlichen Gesundheit bzw. des Bundes, einen Impfstoff im Pandemiefall möglichst rasch abgeben zu können. In einer solchen Situation ist es denkbar, dass noch kein heilmittelrechtliches Zulassungsverfahren zur Überprü- fung der Sicherheit, Wirksamkeit und Qualität eines Heilmittels abgeschlossen werden konnte. (…) Darüber hinaus ist es möglich, dass der Bund unter dem Eindruck eines verheerenden Krank- heitsausbruches die Verwendung eines Impfstoffes auch an Bevölkerungsgruppen empfiehlt, ohne dass eine Zulassung für die entsprechende Indikation vorliegt. In beiden Fällen ist die Ver- wendung des Impfstoffes nur im untergeordneten Interesse des Herstellers, setzt diesen aber ei- nem erhöhten Haftungsrisiko aus. Aufgrund dieser Situation bestehen auf internationaler Ebene Vorschriften, wonach etwa die Verwendung von Arzneimitteln ausserhalb der genehmigten Indi- kation oder die Verwendung nicht genehmigter Arzneimittel nicht der zivil- und verwaltungsrecht- lichen Haftung unterliegen, wenn diese Verwendung von den Behörden als Reaktion auf be- stimmte Krankheitserreger u.a. empfohlen oder verlangt wird." Nach den Darlegungen des BAG beseitigt diese Vereinbarung nicht die Haftpflicht des Herstellers und begründet auch keine neue Haftung des Bundes. Vielmehr gehe es darum, die Voraussetzungen zu regeln, unter welchen gewisse Schäden, die dem Hersteller aus seiner Haftpflicht entstehen, vom Bund übernommen werden. 85. Nachdem das BAG die von der Schadloshaltung betroffenen Bestimmungen tabellarisch darstellt, erklärt es, dass die Hersteller zur Begründung geltend machen, dass die zu schwärzenden Stellen regeln, wie die Parteien bei der Identifizierung und der Mitteilung vorgehen, einschliesslich exakter Mitteilungsfristen. Insbesondere seien die Ausnahmen geregelt, d.h. unter welchen Umständen der Bund eine Schadloshaltung zurückweisen könne. Schliesslich sei auch geregelt, wer in einem solchen Fall unter welchen Voraussetzungen die Verfahrensführung übernehme. Diese Details stellten sensitive Informationen und mithin Geschäftsgeheimnisse dar. Die Offenlegung dieser In- formationen würde Wettbewerbern Vorteile verschaffen, da sie gleich gute, wenn nicht sogar bes-</w:t>
      </w:r>
    </w:p>
    <w:p>
      <w:r>
        <w:t>55 Botschaft zur Revision des Bundesgesetzes über die Bekämpfung übertragbarer Krankheiten des Menschen (Epidemiengesetz, EPG) vom 3. Dezember 2010, BBl 2011 311, 415.</w:t>
      </w:r>
    </w:p>
    <w:p>
      <w:r>
        <w:t>19/23 sere Konditionen verlangen würden. Für die Hersteller bedeute dies für künftige Verhandlungen mit der Schweiz sowie mit anderen Staaten Wettbewerbsnachteile und damit einen kommerziellen Schaden. 86. Zum objektiven Geheimhaltungsinteresse erklärt das BAG: "Die Ausführungen unter dem Titel 'Preis' [s. Ziff. 69 ff.] zur ausserordentlichen Marktsituation sind auch für die Schadloshaltung re- levant: Bei Sars-CoV-2-Impfstoffen kann von keiner üblichen Wettbewerbs- und Marktsituation ausgegangen werden und das Entwicklungs- und Produktionsrisiko der neuen mRNA-Technolo- gie war hoch bzw. schwierig einschätzbar. Die Klauseln wurden mit jedem Hersteller individuell vereinbart und auf die jeweiligen potentiellen Risiken des Produktes abgestimmt. Die Hersteller haben mit Wettbewerbsnachteilen und Marktverzerrungen zu rechnen. So könnten andere Käufer höchstens das Gleiche bieten und Konkurrenzunternehmen potenziellen Käufern attraktivere Kon- ditionen bieten, indem zum Beispiel andere Ausnahmeregelungen oder Verfahrensabreden ge- troffen werden. Die Schadloshaltung ist für die Hersteller von Covid-19-Impfstoffen jeweils eine zentrale Bedingung, um überhaupt zu einem Vertragsabschluss zu gelangen. Auch die EU hat bei der Offenlegung der Verträge diesen Aspekt gleichermassen geschwärzt. Das Vorgehen des BAG ist daher mit jenem der EU vergleichbar." 87. Art. 70 EpG ist keine Spezialbestimmung im Sinne von Art. 4 BGÖ56,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 einzu- gehen. Gemäss Abs. 2 der Norm legt der Bund mit dem Hersteller Umfang und Modalitäten der Schadensdeckung in einer Vereinbarung fest. Diese Befugnis generiert kein objektives Geheim- 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entspricht dem Ziel und Zweck des Öffentlichkeitsgesetzes dieses Verwaltungshandeln nachträglich zu kontrol- lieren (vgl. Art. 1 BGÖ). 88. Die vom BAG befürchtete Benachteiligung des Bundes in künftigen Verhandlungen mit Impfstoff- herstellern stellt keine Geschäftsinformation dar, die ein Geschäftsgeheimnis im Sinne von Art. 7 Abs. 1 Bst. g BGÖ sein kann. Da es sich beim Geschäftsgeheimnis nur um ein privates Interesse handeln kann (s. Ziff. 64), hat das BAG bisher auch nicht dargetan, inwiefern der Bund selber ein solches haben kann. 89. Das BAG führt für die Drittperson aus, es könne nicht von einer üblichen Wettbewerbs- und Markt- situation ausgegangen werden. Dabei zeigt es nicht auf, welchen Nachteil genau die Drittperson im Vergleich zu einer üblichen Wettbewerbs- und Marktsituation erleidet. Dies gilt umso mehr, als diese aufgrund des Art. 70 EpG die Möglichkeit hatte, regulatorisch schneller einen Impfstoff zu verkaufen, zumal der Bund aufgrund seiner Versorgungspflicht gestützt auf diese Bestimmung, andere Modalitäten im Vergleich zu einer normalen Situation vereinbaren konnte. Inwiefern mit der Offenlegung der Vertragsbestandteile zum Aspekt Haftung und Schadloshaltung ein ernsthaf- tes Schadensrisiko bestehen soll, ist weder genügend dargelegt noch erkennbar. Insgesamt ist die Einschätzung des Schadensrisikos des BAG hypothetischer Natur. Es konnte nicht näher dar- legen, inwiefern durch die Offenlegung der verlangten Informationen die betroffene Drittperson beim Verkauf des Impfstoffes einen wirtschaftlichen Nachteil erleidet bzw. welcher Vorteil einem Konkurrenzunternehmen verschafft wird. Ausserdem ist nicht einzusehen, wie die Konkurrenzfä- higkeit eines betroffenen Unternehmens beeinträchtigt werden könnte, da die Transparenzvor- schriften des Öffentlichkeitsgesetzes auf alle Impfstoffverträge Anwendung finden und der Zu- gangsanspruch der Öffentlichkeit nach diesem Gesetz bis zum Abschluss der Beschaffung aufgeschoben werden konnte. Die vom BAG erfolgte Einschätzung des Schadensrisikos zur Haf-</w:t>
      </w:r>
    </w:p>
    <w:p>
      <w:r>
        <w:t>56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20/23 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Beschaffung von Impfstoffen für die Covid-Krise abgeschlossen ist (s. Ziff. 6). Im Übrigen verweist der Beauf- tragte auf seine Darlegungen in den Ziffern 67 und 73 ff. Gerichtsstand und anwendbares Recht 90. Der Aspekt "Gerichtsstand und anwendbares Recht" umfasst gemäss BAG sämtliche Angaben zu Schieds- sowie Mediationsklauseln. 91. Nachdem das BAG die davon betroffenen Bestimmungen tabellarisch darstellt, erklärt es, dass die Hersteller zur Begründung geltend machen, dass das anwendbare Recht und der Gerichts- stand das Ergebnis zäher Verhandlungen seien und die Geschäftsstrategie eines Unternehmens offenbaren würden. "Die Offenlegung dieser Information wäre für die Konkurrenz von Nutzen, da diese gestützt darauf ihre eigenen Angebote in Ausschreibungen anpassen und attraktiv gestalten könnten. Auch würden andere Käufer diese Informationen in Vertragsverhandlungen nutzen, was zu Wettbewerbsverzerrungen sowie Informationsasymmetrien führen würde. Zudem könnten Wettbewerber diese Informationen, wie bspw. die Dauer des Verfahrens, verwenden, um ihr ei- genes Verhalten anzupassen." 92. Zum objektiven Geheimhaltungsinteresse erläutert das BAG: "Die Ausführungen unter dem Titel 'Preis' [s. Ziff. 69 ff.] zur ausserordentlichen Marktsituation sind auch für den Gerichtsstand und das anwendbare Recht relevant. Eine Offenlegung des anwendbaren Rechts und des Gerichts- standes und die Kenntnisnahme durch die Konkurrenz oder durch andere Käufer würde die wirt- schaftlichen Interessen der Hersteller ernsthaft beeinträchtigen, würde ihnen jeweils einen Wett- bewerbsnachteil bringen und Marktverzerrungen bewirken. In der Regel versucht eine Käuferin Landesrecht und einen Gerichtsstand im eigenen Land durchzusetzen. Erwirkt ein Staat dies in den Verhandlungen und wird dieses Entgegenkommen publik, kann sich ein Hersteller in weiteren Verhandlungen kaum noch auf den Standpunkt stellen, er würde grundsätzlich nur einen Gerichts- stand im Herstellungsland und das Recht des Herstellungslandes als anwendbares Recht akzep- tieren. Dasselbe gilt, wenn eine Käuferin durchsetzen kann, dass staatliche Gerichte anstelle der von Herstellern oft bevorzugten Schiedsgerichte aIs zuständig anerkannt werden. Die beiden As- pekte waren jeweils Gegenstand individueller Verhandlungen mit dem Hersteller, da es für beide Parteien auch um das Prozessrisiko und die damit verbundenen Prozesskosten geht, weshalb jede Partei ein Interesse daran hat, das anwendbare Recht als auch den Gerichtsstand möglichst in seine Risikosphäre zu bringen. Dies weil es effizienter und kostengünstiger ist, einen Prozess in der bekannten Gerichtsbarkeit zu führen als im Ausland. Wird nun bekannt, dass einige Her- steller der Schweiz diesbezüglich Zugeständnisse gemacht haben, würden weitere Käufer die gleichen Bedingungen verlangen und Konkurrenzunternehmen könnten potenziellen Käufern at- traktivere Konditionen bieten. Das Geheimhaltungsinteresse der Hersteller in Bezug auf den Ge- richtsstand und dem anwendbaren Recht [sic] erweist sich für das BAG somit als berechtigt, und in Anwendung von Art. 7 Abs. 1 Bst. g BGÖ sind die betreffenden Passagen zu schwärzen. Im Übrigen hat auch die EU bei der Offenlegung der Verträge diese Aspekte gleichermassen ge- schwärzt. Diese Praxis der Schweiz ist daher mit jener der EU vergleichbar." 93. Inwiefern der Gerichtsstand und das anwendbare Recht in einem Vertrag zwischen einem Unter- nehmen und dem Staat als Vertragspartner im Rahmen einer Beschaffung in einem staatlich re- gulierten Markt ein Geschäftsgeheimnis sein soll, hat das BAG konkret nicht aufzeigen können. Das BAG stellt Hypothesen auf, ohne näher zu erklären, inwiefern ein Gerichtsstand oder das anwendbare Recht geschäftsrelevante Informationen der betroffenen Drittperson sind bzw. diese Informationen einen betriebswirtschaftlichen oder kaufmännischen Charakter aufweisen. Ein ernsthaftes Schadensrisiko bei der Offenlegung der verlangten Informationen ist nicht erkennbar. Die vom BAG erfolgte Einschätzung des Schadensrisikos zum Aspekt "Gerichtsstand und an- wendbares Recht" erweist sich somit bisher als nicht stichhaltig begründet. Demzufolge ist auch der Nachweis eines objektiven Geheimhaltungsinteresses nicht erbracht worden, weshalb der an- gerufene Ausnahmegrund nach Art. 7 Abs. 1 Bst. g BGÖ nicht wirksam ist. Abgesehen davon wäre bei einem allfälligen Gerichtsverfahren die Justizöffentlichkeit zu beachten. Ergänzend</w:t>
      </w:r>
    </w:p>
    <w:p>
      <w:r>
        <w:t>21/23 ist zu bemerken, dass die staatliche Beschaffung von Impfstoffen für die Covid-Krise abgeschlos- sen ist (s. Ziff. 6). Im Übrigen verweist der Beauftragte auf seine Darlegungen in den Ziffern 67 und 73 ff. Regulatorische Bedingungen 94.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95. Das BAG stellt die vom Aspekt "regulatorische Bedingungen" betroffenen Vertragspassagen ta- bellarisch dar und begründet diese. Es erklärt, dass die Hersteller hierzu geltend machen, dass nicht öffentlich bekannt sei, aus welchen Komponenten die Impfstoffe im Detail jeweils bestehen würden. Die Informationen hätten entsprechend Geheimnischarakter, seien vertraulich und stell- ten ein Fabrikationsgeheimnis dar. Dazu würden Kenntnisse zählen, welche bei der Herstellung von Produkten verwendet würden und am veräusserten Produkt nicht erkennbar und somit ge- heimnisfähig seien, wie etwa Fabrikationsanleitungen, Forschungsergebnisse, Herstellungs- und Konstruktionsverfahren und technische Spezifikationen. 96. Zum objektiven Geheimhaltungsinteresse erklärt das BAG: "Die Ausführungen unter dem Titel 'Preis' [s. Ziff. 69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 Wettbewerbsvorteil darstellen, was zu Wettbewerbsverzerrungen führt, die sich auf das Ge- schäftsergebnis auswirken. Würden die Informationen zu den Produkten und den Produktzulas- sungen offengelegt, ist davon auszugehen, dass für jeden Hersteller ein ernsthaftes und konkretes Risiko wirtschaftlicher Schäden besteht. Das Geheimhaltungsinteresse der Hersteller in Bezug auf das Produkt und dessen Zulassung erweist sich für das BAG somit als berechtigt, und in An- wendung von Art. 7 Abs. 1 Bst. g BGÖ sind die betreffenden Passagen zu schwärzen. Im Übrigen hat die EU bei der Offenlegung der Verträge diese Aspekte gleichermassen geschwärzt. Die Pra- xis der Schweiz ist daher mit jener der EU vergleichbar." 97. Die staatliche Beschaffung von Impfstoffen für die Covid-Krise ist abgeschlossen (s. Ziff. 6). Im Übrigen verweist der Beauftragte auf seine Darlegungen in den Ziffern 67 und 73 ff. Ergänzend ist anzumerken, dass die Drittperson, wie andere Impfstoffhersteller auch, von Swissmedic zu- nächst eine befristete Zulassung für ihren Impfstoff erhalten hat.57 Damit sind bereits Informatio- nen öffentlich bekannt worden.58 Zu beachten ist, dass erst bei einer definitiven Zulassung be- stimmte Informationen von Swissmedic veröffentlicht werden. Demzufolge ist der Zugang zu den regulatorischen Bedingungen gemäss Art. 8 Abs. 2 BGÖ bis zum definitiven Zulassungsentscheid der Impfstoffe bei Swissmedic durch das BAG aufzuschieben. Infolge der zwischenzeitlich erfolg- ten definitiven Zulassungen der Impfstoffe der Drittperson59 hat das BAG als Fachbehörde60 in</w:t>
      </w:r>
    </w:p>
    <w:p>
      <w:r>
        <w:t>57 https://www.swissmedic.ch/swissmedic/de/home/news/coronavirus-covid-19/stand-zl-bekaempfung-covid-19.html, zuletzt besucht am 24.10.2023. 58 https://www.swissmedic.ch/swissmedic/de/home/news/coronavirus-covid-19/stand-zl-bekaempfung-covid-19.html, https://www.swissme- dic.ch/swissmedic/de/home/humanarzneimittel/authorisations/new-medicines.html und https://compendium.ch/, zuletzt besucht am 24.10.2023. 59 https://www.swissmedic.ch/swissmedic/de/home/news/coronavirus-covid-19/stand-zl-bekaempfung-covid-19.html, zuletzt besucht am 24.10.22023. 60 Urteil des BVGer A-1051/2022 vom 29. August 2023 E. 10.2.</w:t>
      </w:r>
    </w:p>
    <w:p>
      <w:r>
        <w:t>22/23 seiner Einschätzung, allenfalls in Zusammenarbeit mit Swissmedic, zu prüfen, ob ein Aufschie- bungsgrund für einzelne bisher nicht öffentlich zugängliche Informationen zwischenzeitlich entfal- len ist. Unter den vom BAG aufgelisteten Punkten 7, 7.1 bis 7.5 des Vertrages Beilage 15 sind im Übrigen keine Informationen ersichtlich, die ein Geschäftsgeheimnis darstellen sollten. Bei der Tabelle 1 auf S. 39 (Exhibit A) sind teilweise Informationen bereits öffentlich zugänglich gemacht worden (so etwa durch die EMA), weshalb der Zugang zu bereits veröffentlichten Informationen zu gewähren ist. Andere geschwärzte Passagen in den oben nicht aufgeführten Sachbereichen bzw. Vertragsbe- standteilen 98. Das BAG wendet in seiner Stellungnahme vom 14. Oktober 2022 ein: "Die wenigen Schwärzun- gen in anderen Bereichen der Vertragsunterlagen erfolgten mit analogen Begründungen, wie sie oben für die jeweiligen Sachbereiche dargelegt sind. Das BAG behält sich vor, weitergehende Ausführungen nachzureichen." 99. Da das BAG im Schlichtungsverfahren dazu keine konkreten Angaben gemacht und die Ein- schwärzungen pauschal benannt hat, kann sie der Beauftragte nicht prüfen. Die damit gemeinten Passagen sind daher mangels hinreichender Bezeichnung und Begründung offenzulegen. III Aufgrund dieser Erwägungen empfiehlt der Eidgenössische Datenschutz- und Öffentlich- keitsbeauftragte: 100. Da das BAG nicht mit der von der Rechtsprechung erforderlichen Begründungsdichte das Vorlie- gen der Ausnahmegründe darlegen konnte, gewährt das BAG den Zugang zu den aufgelisteten Passagen der entsprechenden Verträge der Drittperson ("Preis und Zahlungsinformationen", "Lie- ferkonditionen", "Haftung", "Schadloshaltung", "Gerichtsstand und anwendbares Recht" sowie "andere geschwärzte Passagen in den oben nicht aufgeführten Sachbereichen bzw. Vertragsbe- standteilen") entsprechend den vorgängigen Erwägungen zu den jeweiligen Aspekten. 101. Das BAG gewährt den Zugang bzw. schiebt den Zugang auf betreffend die unter dem Kriterium "regulatorische Bedingungen" aufgelisteten Verträge gemäss den Erwägungen zu diesem Aspekt. 102. Die Antragstellenden und die angehörte Drittperson können innerhalb von 10 Tagen nach Erhalt dieser Empfehlung beim BAG den Erlass einer Verfügung nach Art. 5 VwVG verlangen, wenn sie mit der Empfehlung nicht einverstanden sind (Art. 15 Abs.1 BGÖ). 103. Das BAG erlässt eine Verfügung, wenn es mit der Empfehlung nicht einverstanden ist (Art. 15 Abs. 2 BGÖ). 104. Das BAG erlässt die Verfügung innert 20 Tagen nach Empfang dieser Empfehlung oder nach Eingang eines Gesuches um Erlass einer Verfügung (Art. 15 Abs. 3 BGÖ). 105. Diese Empfehlung wird veröffentlicht. Zum Schutz der Personendaten der am Schlichtungsver- fahren Beteiligten wird der Name der Antragstellenden sowie der Name der anwaltlichen Vertre- tung der Drittperson anonymisiert (Art. 13 Abs. 3 VBGÖ).</w:t>
      </w:r>
    </w:p>
    <w:p>
      <w:r>
        <w:t>23/23</w:t>
      </w:r>
    </w:p>
    <w:p>
      <w:r>
        <w:t>106. Die Empfehlung wird eröffnet: - Einschreiben mit Rückschein (AR)</w:t>
      </w:r>
    </w:p>
    <w:p>
      <w:r>
        <w:t>Bundesamt für Gesundheit 3003 Bern</w:t>
      </w:r>
    </w:p>
    <w:p>
      <w:r>
        <w:t>Einschreiben mit Rückschein (AR)</w:t>
      </w:r>
    </w:p>
    <w:p>
      <w:r>
        <w:t>Moderna Switzerland GmbH und ModernaTX, Inc. (teilweise anonymisiert), vertreten durch X.___</w:t>
      </w:r>
    </w:p>
    <w:p>
      <w:r>
        <w:t>- Einschreiben mit Rückschein (AR)</w:t>
      </w:r>
    </w:p>
    <w:p>
      <w:r>
        <w:t>Antragstellende A.___ − H.___ (teilweise anonymisiert)</w:t>
      </w:r>
    </w:p>
    <w:p>
      <w:r>
        <w:t>Adrian Lobsiger</w:t>
      </w:r>
    </w:p>
    <w:p>
      <w:r>
        <w:t>Astrid Schwegler Der Beauftragte</w:t>
      </w:r>
    </w:p>
    <w:p>
      <w:r>
        <w:t>Stv. Leiterin Direktionsbereich</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