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Presse_96037 vom 1. September 2023</w:t>
      </w:r>
    </w:p>
    <w:p>
      <w:r>
        <w:t>EDÖB, 2023-09-01, DE</w:t>
      </w:r>
    </w:p>
    <w:p>
      <w:r>
        <w:rPr>
          <w:b/>
        </w:rPr>
        <w:t xml:space="preserve">Quelle: </w:t>
      </w:r>
      <w:r>
        <w:t>https://mcp.opencaselaw.ch/entscheid/edoeb_Presse_96037</w:t>
      </w:r>
    </w:p>
    <w:p>
      <w:r>
        <w:t>FR: EDOEB Presse_96037 du 1 septembre 2023</w:t>
      </w:r>
    </w:p>
    <w:p>
      <w:r>
        <w:t>IT: EDOEB Presse_96037 del 1 settembre 2023</w:t>
      </w:r>
    </w:p>
    <w:p>
      <w:pPr>
        <w:pStyle w:val="Heading2"/>
      </w:pPr>
      <w:r>
        <w:t>Regeste</w:t>
      </w:r>
    </w:p>
    <w:p>
      <w:r>
        <w:t>30. Tätigkeitsbericht 2022/2023: Neues Recht stärkt Funktionen des EDÖB | Das am 1. September 2023 in Kraft tretende neue Datenschutzgesetz wird die aufsichtsrechtliche Tätigkeit des EDÖB intensivieren. Der risikobasierte Ansatz liefert den Verantwortlichen zeitgemässe Instrumente zur Sicherstellung des Datenschutzes in digitalen Projekten und schärft die Sensibilität für die Privatsphäre. Der 30. Tätigkeitsbericht des Eidgenössischen Datenschutz- und Öffentlichkeitsbeauftragten legt den Fokus auf die rechtlichen Neuerungen, die mit dem Fortschreiten der Digitalisierung notwendig sind. Er legt den Finger aber auch auf Tendenzen in der Exekutivpolitik, das Öffentlichkeitsgesetz durch Notrecht zu umgehen.</w:t>
      </w:r>
    </w:p>
    <w:p>
      <w:pPr>
        <w:pStyle w:val="Heading2"/>
      </w:pPr>
      <w:r>
        <w:t>Erwägungen</w:t>
      </w:r>
    </w:p>
    <w:p>
      <w:r>
        <w:rPr>
          <w:b/>
        </w:rPr>
        <w:t>E. 30</w:t>
      </w:r>
    </w:p>
    <w:p>
      <w:r>
        <w:t>Tätigkeitsbericht 2022/2023 des EDÖB Merkblatt für ethische Hacker Abschluss der Sachverhaltsabklärung zur Datenbank privater Covid-19-Testzentren Spezialbestimmungen nach Art. 4 BGÖ Herausgeber Eidgenössischer Datenschutz- und Öffentlichkeitsbeauftragter http://www.edoeb.admin.ch/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