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Presse_57887 vom 29. Juni 2015</w:t>
      </w:r>
    </w:p>
    <w:p>
      <w:r>
        <w:t>EDÖB, 2015-06-29, DE</w:t>
      </w:r>
    </w:p>
    <w:p>
      <w:r>
        <w:rPr>
          <w:b/>
        </w:rPr>
        <w:t xml:space="preserve">Quelle: </w:t>
      </w:r>
      <w:r>
        <w:t>https://mcp.opencaselaw.ch/entscheid/edoeb_Presse_57887</w:t>
      </w:r>
    </w:p>
    <w:p>
      <w:r>
        <w:t>FR: EDOEB Presse_57887 du 29 juin 2015</w:t>
      </w:r>
    </w:p>
    <w:p>
      <w:r>
        <w:t>IT: EDOEB Presse_57887 del 29 giugno 2015</w:t>
      </w:r>
    </w:p>
    <w:p>
      <w:pPr>
        <w:pStyle w:val="Heading2"/>
      </w:pPr>
      <w:r>
        <w:t>Regeste</w:t>
      </w:r>
    </w:p>
    <w:p>
      <w:r>
        <w:t>22. Tätigkeitsbericht | Der Eidgenössische Datenschutz- und Öffentlichkeitsbeauftragte (EDÖB) Hanspeter Thür stellt heute der Öffentlichkeit seinen 22. Tätigkeitsbericht vor. Im Bereich Datenschutz prägten die Aufsicht über Datenbearbeitungen von Unternehmen das Tätigkeitsjahr 2014/2015 ebenso wie die Beratung von Bürgerinnen, Behörden und Firmen. Im Öffentlichkeitsprinzip vermittelte der EDÖB in mehreren Schlichtungen zwischen Behörden und Gesuchstellern und erliess zahlreiche Empfehlungen. Darüber hinaus nahm er in beiden Bereichen zu wichtigen Gesetzesvorlagen Stellung.</w:t>
      </w:r>
    </w:p>
    <w:p>
      <w:pPr>
        <w:pStyle w:val="Heading2"/>
      </w:pPr>
      <w:r>
        <w:t>Erwägungen</w:t>
      </w:r>
    </w:p>
    <w:p>
      <w:r>
        <w:rPr>
          <w:b/>
        </w:rPr>
        <w:t>E. 22</w:t>
      </w:r>
    </w:p>
    <w:p>
      <w:r>
        <w:t>Tätigkeitsbericht (Website)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